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AA4" w:rsidRDefault="0063500F" w:rsidP="0063500F">
      <w:pPr>
        <w:jc w:val="center"/>
        <w:rPr>
          <w:rFonts w:ascii="Arial" w:hAnsi="Arial" w:cs="Arial"/>
          <w:b/>
          <w:sz w:val="28"/>
          <w:szCs w:val="28"/>
        </w:rPr>
      </w:pPr>
      <w:r w:rsidRPr="0063500F">
        <w:rPr>
          <w:rFonts w:ascii="Arial" w:hAnsi="Arial" w:cs="Arial"/>
          <w:b/>
          <w:sz w:val="28"/>
          <w:szCs w:val="28"/>
        </w:rPr>
        <w:t>IDE Early/Expanded Access for Medical Devices</w:t>
      </w:r>
    </w:p>
    <w:p w:rsidR="0063500F" w:rsidRPr="00F55771" w:rsidRDefault="00F55771" w:rsidP="00F55771">
      <w:pPr>
        <w:spacing w:after="0" w:line="240" w:lineRule="auto"/>
        <w:jc w:val="center"/>
        <w:rPr>
          <w:rFonts w:ascii="Arial" w:eastAsia="Times New Roman" w:hAnsi="Arial" w:cs="Arial"/>
          <w:i/>
        </w:rPr>
      </w:pPr>
      <w:r w:rsidRPr="00F55771">
        <w:rPr>
          <w:rFonts w:ascii="Arial" w:eastAsia="Times New Roman" w:hAnsi="Arial" w:cs="Arial"/>
          <w:i/>
        </w:rPr>
        <w:t>Information contained in FDA Guidance</w:t>
      </w:r>
    </w:p>
    <w:p w:rsidR="00F55771" w:rsidRDefault="00F55771" w:rsidP="0063500F">
      <w:pPr>
        <w:spacing w:after="0" w:line="240" w:lineRule="auto"/>
        <w:rPr>
          <w:rFonts w:ascii="Arial" w:eastAsia="Times New Roman" w:hAnsi="Arial" w:cs="Arial"/>
          <w:sz w:val="24"/>
          <w:szCs w:val="24"/>
        </w:rPr>
      </w:pPr>
    </w:p>
    <w:p w:rsidR="0063500F" w:rsidRPr="0063500F" w:rsidRDefault="0063500F" w:rsidP="0063500F">
      <w:pPr>
        <w:spacing w:after="0" w:line="240" w:lineRule="auto"/>
        <w:rPr>
          <w:rFonts w:ascii="Arial" w:eastAsia="Times New Roman" w:hAnsi="Arial" w:cs="Arial"/>
          <w:sz w:val="24"/>
          <w:szCs w:val="24"/>
        </w:rPr>
      </w:pPr>
      <w:r w:rsidRPr="0063500F">
        <w:rPr>
          <w:rFonts w:ascii="Arial" w:eastAsia="Times New Roman" w:hAnsi="Arial" w:cs="Arial"/>
          <w:sz w:val="24"/>
          <w:szCs w:val="24"/>
        </w:rPr>
        <w:t xml:space="preserve">An unapproved medical device may normally only be used on human subjects through an approved clinical study. However, there may be circumstances in which a physician may wish to use an unapproved device on a patient with a life-threatening condition or to help a patient suffering from a serious disease or condition for which no alternative therapy exists. Under these circumstances there are four main mechanisms in which the FDA may make an unapproved device available to patients/physicians. </w:t>
      </w:r>
    </w:p>
    <w:p w:rsidR="0063500F" w:rsidRPr="0063500F" w:rsidRDefault="0063500F" w:rsidP="0063500F">
      <w:pPr>
        <w:spacing w:after="0" w:line="240" w:lineRule="auto"/>
        <w:ind w:firstLine="1080"/>
        <w:rPr>
          <w:rFonts w:ascii="Arial" w:eastAsia="Times New Roman" w:hAnsi="Arial" w:cs="Arial"/>
          <w:sz w:val="24"/>
          <w:szCs w:val="24"/>
        </w:rPr>
      </w:pPr>
      <w:r w:rsidRPr="0063500F">
        <w:rPr>
          <w:rFonts w:ascii="Arial" w:eastAsia="Times New Roman" w:hAnsi="Arial" w:cs="Arial"/>
          <w:sz w:val="24"/>
          <w:szCs w:val="24"/>
        </w:rPr>
        <w:t>•Emergency Use</w:t>
      </w:r>
    </w:p>
    <w:p w:rsidR="0063500F" w:rsidRPr="0063500F" w:rsidRDefault="0063500F" w:rsidP="0063500F">
      <w:pPr>
        <w:spacing w:after="0" w:line="240" w:lineRule="auto"/>
        <w:ind w:firstLine="1080"/>
        <w:rPr>
          <w:rFonts w:ascii="Arial" w:eastAsia="Times New Roman" w:hAnsi="Arial" w:cs="Arial"/>
          <w:sz w:val="24"/>
          <w:szCs w:val="24"/>
        </w:rPr>
      </w:pPr>
      <w:r w:rsidRPr="0063500F">
        <w:rPr>
          <w:rFonts w:ascii="Arial" w:eastAsia="Times New Roman" w:hAnsi="Arial" w:cs="Arial"/>
          <w:sz w:val="24"/>
          <w:szCs w:val="24"/>
        </w:rPr>
        <w:t>•Compassionate Use (or Single Patient/Small Group Access)</w:t>
      </w:r>
    </w:p>
    <w:p w:rsidR="0063500F" w:rsidRPr="0063500F" w:rsidRDefault="0063500F" w:rsidP="0063500F">
      <w:pPr>
        <w:spacing w:after="0" w:line="240" w:lineRule="auto"/>
        <w:ind w:firstLine="1080"/>
        <w:rPr>
          <w:rFonts w:ascii="Arial" w:eastAsia="Times New Roman" w:hAnsi="Arial" w:cs="Arial"/>
          <w:sz w:val="24"/>
          <w:szCs w:val="24"/>
        </w:rPr>
      </w:pPr>
      <w:r w:rsidRPr="0063500F">
        <w:rPr>
          <w:rFonts w:ascii="Arial" w:eastAsia="Times New Roman" w:hAnsi="Arial" w:cs="Arial"/>
          <w:sz w:val="24"/>
          <w:szCs w:val="24"/>
        </w:rPr>
        <w:t>•Treatment Use</w:t>
      </w:r>
    </w:p>
    <w:p w:rsidR="0063500F" w:rsidRDefault="0063500F" w:rsidP="0063500F">
      <w:pPr>
        <w:spacing w:after="0" w:line="240" w:lineRule="auto"/>
        <w:ind w:firstLine="1080"/>
        <w:rPr>
          <w:rFonts w:ascii="Arial" w:eastAsia="Times New Roman" w:hAnsi="Arial" w:cs="Arial"/>
          <w:sz w:val="24"/>
          <w:szCs w:val="24"/>
        </w:rPr>
      </w:pPr>
      <w:r w:rsidRPr="0063500F">
        <w:rPr>
          <w:rFonts w:ascii="Arial" w:eastAsia="Times New Roman" w:hAnsi="Arial" w:cs="Arial"/>
          <w:sz w:val="24"/>
          <w:szCs w:val="24"/>
        </w:rPr>
        <w:t>•Continued Access</w:t>
      </w:r>
    </w:p>
    <w:p w:rsidR="0063500F" w:rsidRPr="0063500F" w:rsidRDefault="0063500F" w:rsidP="0063500F">
      <w:pPr>
        <w:spacing w:after="0" w:line="240" w:lineRule="auto"/>
        <w:ind w:firstLine="1080"/>
        <w:rPr>
          <w:rFonts w:ascii="Arial" w:eastAsia="Times New Roman" w:hAnsi="Arial" w:cs="Arial"/>
          <w:sz w:val="24"/>
          <w:szCs w:val="24"/>
        </w:rPr>
      </w:pPr>
    </w:p>
    <w:p w:rsidR="0063500F" w:rsidRPr="0063500F" w:rsidRDefault="0063500F" w:rsidP="0063500F">
      <w:pPr>
        <w:spacing w:after="0" w:line="240" w:lineRule="auto"/>
        <w:rPr>
          <w:rFonts w:ascii="Arial" w:eastAsia="Times New Roman" w:hAnsi="Arial" w:cs="Arial"/>
          <w:sz w:val="24"/>
          <w:szCs w:val="24"/>
        </w:rPr>
      </w:pPr>
      <w:r w:rsidRPr="0063500F">
        <w:rPr>
          <w:rFonts w:ascii="Arial" w:eastAsia="Times New Roman" w:hAnsi="Arial" w:cs="Arial"/>
          <w:sz w:val="24"/>
          <w:szCs w:val="24"/>
        </w:rPr>
        <w:t>This document will focus on the 2 most com</w:t>
      </w:r>
      <w:r>
        <w:rPr>
          <w:rFonts w:ascii="Arial" w:eastAsia="Times New Roman" w:hAnsi="Arial" w:cs="Arial"/>
          <w:sz w:val="24"/>
          <w:szCs w:val="24"/>
        </w:rPr>
        <w:t xml:space="preserve">mon types: </w:t>
      </w:r>
      <w:r w:rsidRPr="0063500F">
        <w:rPr>
          <w:rFonts w:ascii="Arial" w:eastAsia="Times New Roman" w:hAnsi="Arial" w:cs="Arial"/>
          <w:sz w:val="24"/>
          <w:szCs w:val="24"/>
        </w:rPr>
        <w:t>Emergency Use and Compassionate Use</w:t>
      </w:r>
    </w:p>
    <w:p w:rsidR="0063500F" w:rsidRPr="0063500F" w:rsidRDefault="0063500F" w:rsidP="0063500F">
      <w:pPr>
        <w:spacing w:after="0" w:line="240" w:lineRule="auto"/>
        <w:rPr>
          <w:rFonts w:ascii="Arial" w:eastAsia="Times New Roman" w:hAnsi="Arial" w:cs="Arial"/>
          <w:sz w:val="24"/>
          <w:szCs w:val="24"/>
        </w:rPr>
      </w:pPr>
    </w:p>
    <w:p w:rsidR="0063500F" w:rsidRDefault="009F54FC" w:rsidP="00F55771">
      <w:pPr>
        <w:spacing w:after="0" w:line="240" w:lineRule="auto"/>
        <w:rPr>
          <w:rFonts w:ascii="Arial" w:hAnsi="Arial" w:cs="Arial"/>
          <w:b/>
          <w:sz w:val="24"/>
          <w:szCs w:val="24"/>
          <w:u w:val="single"/>
        </w:rPr>
      </w:pPr>
      <w:r w:rsidRPr="009F54FC">
        <w:rPr>
          <w:rFonts w:ascii="Arial" w:hAnsi="Arial" w:cs="Arial"/>
          <w:b/>
          <w:sz w:val="24"/>
          <w:szCs w:val="24"/>
          <w:u w:val="single"/>
        </w:rPr>
        <w:t xml:space="preserve">What is Emergency Use? </w:t>
      </w:r>
    </w:p>
    <w:p w:rsidR="009F54FC" w:rsidRPr="009F54FC" w:rsidRDefault="009F54FC" w:rsidP="00F55771">
      <w:pPr>
        <w:spacing w:after="0" w:line="240" w:lineRule="auto"/>
        <w:rPr>
          <w:rFonts w:ascii="Arial" w:hAnsi="Arial" w:cs="Arial"/>
          <w:sz w:val="24"/>
          <w:szCs w:val="24"/>
        </w:rPr>
      </w:pPr>
      <w:r w:rsidRPr="009F54FC">
        <w:rPr>
          <w:rFonts w:ascii="Arial" w:hAnsi="Arial" w:cs="Arial"/>
          <w:sz w:val="24"/>
          <w:szCs w:val="24"/>
        </w:rPr>
        <w:t>Emergency situations may arise in which there will be a need to use an investigational device in a manner inconsistent with the approved investigational plan or by a physician who is not part of the clinical study. Emergency use of an unapproved device may occur before an</w:t>
      </w:r>
      <w:r>
        <w:rPr>
          <w:rFonts w:ascii="Arial" w:hAnsi="Arial" w:cs="Arial"/>
          <w:sz w:val="24"/>
          <w:szCs w:val="24"/>
        </w:rPr>
        <w:t xml:space="preserve"> FDA</w:t>
      </w:r>
      <w:r w:rsidRPr="009F54FC">
        <w:rPr>
          <w:rFonts w:ascii="Arial" w:hAnsi="Arial" w:cs="Arial"/>
          <w:sz w:val="24"/>
          <w:szCs w:val="24"/>
        </w:rPr>
        <w:t xml:space="preserve"> IDE</w:t>
      </w:r>
      <w:r>
        <w:rPr>
          <w:rFonts w:ascii="Arial" w:hAnsi="Arial" w:cs="Arial"/>
          <w:sz w:val="24"/>
          <w:szCs w:val="24"/>
        </w:rPr>
        <w:t xml:space="preserve"> application </w:t>
      </w:r>
      <w:r w:rsidRPr="009F54FC">
        <w:rPr>
          <w:rFonts w:ascii="Arial" w:hAnsi="Arial" w:cs="Arial"/>
          <w:sz w:val="24"/>
          <w:szCs w:val="24"/>
        </w:rPr>
        <w:t xml:space="preserve">is approved.  The sponsor must notify the FDA of the emergency use </w:t>
      </w:r>
      <w:r w:rsidRPr="009F54FC">
        <w:rPr>
          <w:rFonts w:ascii="Arial" w:hAnsi="Arial" w:cs="Arial"/>
          <w:b/>
          <w:sz w:val="24"/>
          <w:szCs w:val="24"/>
        </w:rPr>
        <w:t>within 5 days</w:t>
      </w:r>
      <w:r w:rsidRPr="009F54FC">
        <w:rPr>
          <w:rFonts w:ascii="Arial" w:hAnsi="Arial" w:cs="Arial"/>
          <w:sz w:val="24"/>
          <w:szCs w:val="24"/>
        </w:rPr>
        <w:t xml:space="preserve"> through a submission of an</w:t>
      </w:r>
      <w:r w:rsidR="00545877">
        <w:rPr>
          <w:rFonts w:ascii="Arial" w:hAnsi="Arial" w:cs="Arial"/>
          <w:sz w:val="24"/>
          <w:szCs w:val="24"/>
        </w:rPr>
        <w:t xml:space="preserve"> Investigational Device Exemption (</w:t>
      </w:r>
      <w:r w:rsidRPr="009F54FC">
        <w:rPr>
          <w:rFonts w:ascii="Arial" w:hAnsi="Arial" w:cs="Arial"/>
          <w:sz w:val="24"/>
          <w:szCs w:val="24"/>
        </w:rPr>
        <w:t>IDE</w:t>
      </w:r>
      <w:r w:rsidR="00545877">
        <w:rPr>
          <w:rFonts w:ascii="Arial" w:hAnsi="Arial" w:cs="Arial"/>
          <w:sz w:val="24"/>
          <w:szCs w:val="24"/>
        </w:rPr>
        <w:t>) r</w:t>
      </w:r>
      <w:r w:rsidRPr="009F54FC">
        <w:rPr>
          <w:rFonts w:ascii="Arial" w:hAnsi="Arial" w:cs="Arial"/>
          <w:sz w:val="24"/>
          <w:szCs w:val="24"/>
        </w:rPr>
        <w:t>eport describing the details of the case and the patient protection measures that were followed.</w:t>
      </w:r>
      <w:r w:rsidR="00545877">
        <w:rPr>
          <w:rFonts w:ascii="Arial" w:hAnsi="Arial" w:cs="Arial"/>
          <w:sz w:val="24"/>
          <w:szCs w:val="24"/>
        </w:rPr>
        <w:t xml:space="preserve"> The local IRB must also be notified within 5 days. </w:t>
      </w:r>
    </w:p>
    <w:p w:rsidR="00E61A80" w:rsidRDefault="00E61A80" w:rsidP="00E61A80">
      <w:pPr>
        <w:spacing w:after="0" w:line="240" w:lineRule="auto"/>
        <w:rPr>
          <w:rFonts w:ascii="Arial" w:hAnsi="Arial" w:cs="Arial"/>
          <w:sz w:val="24"/>
          <w:szCs w:val="24"/>
        </w:rPr>
      </w:pPr>
    </w:p>
    <w:p w:rsidR="009F54FC" w:rsidRPr="009F54FC" w:rsidRDefault="009F54FC" w:rsidP="009F54FC">
      <w:pPr>
        <w:rPr>
          <w:rFonts w:ascii="Arial" w:hAnsi="Arial" w:cs="Arial"/>
          <w:sz w:val="24"/>
          <w:szCs w:val="24"/>
        </w:rPr>
      </w:pPr>
      <w:r w:rsidRPr="009F54FC">
        <w:rPr>
          <w:rFonts w:ascii="Arial" w:hAnsi="Arial" w:cs="Arial"/>
          <w:sz w:val="24"/>
          <w:szCs w:val="24"/>
        </w:rPr>
        <w:t>Criteria:</w:t>
      </w:r>
    </w:p>
    <w:p w:rsidR="009F54FC" w:rsidRPr="009F54FC" w:rsidRDefault="009F54FC" w:rsidP="009F54FC">
      <w:pPr>
        <w:pStyle w:val="ListParagraph"/>
        <w:numPr>
          <w:ilvl w:val="0"/>
          <w:numId w:val="1"/>
        </w:numPr>
        <w:rPr>
          <w:rFonts w:ascii="Arial" w:hAnsi="Arial" w:cs="Arial"/>
          <w:sz w:val="24"/>
          <w:szCs w:val="24"/>
        </w:rPr>
      </w:pPr>
      <w:r w:rsidRPr="009F54FC">
        <w:rPr>
          <w:rFonts w:ascii="Arial" w:hAnsi="Arial" w:cs="Arial"/>
          <w:sz w:val="24"/>
          <w:szCs w:val="24"/>
        </w:rPr>
        <w:t>Life-threatening or serious disease or condition</w:t>
      </w:r>
    </w:p>
    <w:p w:rsidR="009F54FC" w:rsidRPr="009F54FC" w:rsidRDefault="009F54FC" w:rsidP="009F54FC">
      <w:pPr>
        <w:pStyle w:val="ListParagraph"/>
        <w:numPr>
          <w:ilvl w:val="0"/>
          <w:numId w:val="1"/>
        </w:numPr>
        <w:rPr>
          <w:rFonts w:ascii="Arial" w:hAnsi="Arial" w:cs="Arial"/>
          <w:sz w:val="24"/>
          <w:szCs w:val="24"/>
        </w:rPr>
      </w:pPr>
      <w:r w:rsidRPr="009F54FC">
        <w:rPr>
          <w:rFonts w:ascii="Arial" w:hAnsi="Arial" w:cs="Arial"/>
          <w:sz w:val="24"/>
          <w:szCs w:val="24"/>
        </w:rPr>
        <w:t>No alternative</w:t>
      </w:r>
    </w:p>
    <w:p w:rsidR="009F54FC" w:rsidRDefault="009F54FC" w:rsidP="009F54FC">
      <w:pPr>
        <w:pStyle w:val="ListParagraph"/>
        <w:numPr>
          <w:ilvl w:val="0"/>
          <w:numId w:val="1"/>
        </w:numPr>
        <w:rPr>
          <w:rFonts w:ascii="Arial" w:hAnsi="Arial" w:cs="Arial"/>
          <w:sz w:val="24"/>
          <w:szCs w:val="24"/>
        </w:rPr>
      </w:pPr>
      <w:r w:rsidRPr="009F54FC">
        <w:rPr>
          <w:rFonts w:ascii="Arial" w:hAnsi="Arial" w:cs="Arial"/>
          <w:sz w:val="24"/>
          <w:szCs w:val="24"/>
        </w:rPr>
        <w:t>No time to obtain FDA approval</w:t>
      </w:r>
    </w:p>
    <w:p w:rsidR="00545877" w:rsidRDefault="00AC309E" w:rsidP="00AC309E">
      <w:pPr>
        <w:rPr>
          <w:rFonts w:ascii="Arial" w:hAnsi="Arial" w:cs="Arial"/>
          <w:sz w:val="24"/>
          <w:szCs w:val="24"/>
        </w:rPr>
      </w:pPr>
      <w:r>
        <w:rPr>
          <w:rFonts w:ascii="Arial" w:hAnsi="Arial" w:cs="Arial"/>
          <w:sz w:val="24"/>
          <w:szCs w:val="24"/>
        </w:rPr>
        <w:t xml:space="preserve">A </w:t>
      </w:r>
      <w:r w:rsidR="00545877">
        <w:rPr>
          <w:rFonts w:ascii="Arial" w:hAnsi="Arial" w:cs="Arial"/>
          <w:sz w:val="24"/>
          <w:szCs w:val="24"/>
        </w:rPr>
        <w:t>device</w:t>
      </w:r>
      <w:r>
        <w:rPr>
          <w:rFonts w:ascii="Arial" w:hAnsi="Arial" w:cs="Arial"/>
          <w:sz w:val="24"/>
          <w:szCs w:val="24"/>
        </w:rPr>
        <w:t xml:space="preserve"> can be used in an emergency situation</w:t>
      </w:r>
      <w:r w:rsidR="00545877">
        <w:rPr>
          <w:rFonts w:ascii="Arial" w:hAnsi="Arial" w:cs="Arial"/>
          <w:sz w:val="24"/>
          <w:szCs w:val="24"/>
        </w:rPr>
        <w:t xml:space="preserve"> when:</w:t>
      </w:r>
      <w:r>
        <w:rPr>
          <w:rFonts w:ascii="Arial" w:hAnsi="Arial" w:cs="Arial"/>
          <w:sz w:val="24"/>
          <w:szCs w:val="24"/>
        </w:rPr>
        <w:t xml:space="preserve"> </w:t>
      </w:r>
    </w:p>
    <w:p w:rsidR="00AC309E" w:rsidRPr="00545877" w:rsidRDefault="00AC309E" w:rsidP="00545877">
      <w:pPr>
        <w:pStyle w:val="ListParagraph"/>
        <w:numPr>
          <w:ilvl w:val="0"/>
          <w:numId w:val="8"/>
        </w:numPr>
        <w:rPr>
          <w:rFonts w:ascii="Arial" w:hAnsi="Arial" w:cs="Arial"/>
          <w:sz w:val="24"/>
          <w:szCs w:val="24"/>
        </w:rPr>
      </w:pPr>
      <w:r w:rsidRPr="00545877">
        <w:rPr>
          <w:rFonts w:ascii="Arial" w:hAnsi="Arial" w:cs="Arial"/>
          <w:sz w:val="24"/>
          <w:szCs w:val="24"/>
        </w:rPr>
        <w:t xml:space="preserve">There is no Investigational Device </w:t>
      </w:r>
      <w:r w:rsidR="00545877" w:rsidRPr="00545877">
        <w:rPr>
          <w:rFonts w:ascii="Arial" w:hAnsi="Arial" w:cs="Arial"/>
          <w:sz w:val="24"/>
          <w:szCs w:val="24"/>
        </w:rPr>
        <w:t>Exemption (IDE)</w:t>
      </w:r>
    </w:p>
    <w:p w:rsidR="00AC309E" w:rsidRPr="00545877" w:rsidRDefault="00AC309E" w:rsidP="00545877">
      <w:pPr>
        <w:pStyle w:val="ListParagraph"/>
        <w:numPr>
          <w:ilvl w:val="0"/>
          <w:numId w:val="8"/>
        </w:numPr>
        <w:rPr>
          <w:rFonts w:ascii="Arial" w:hAnsi="Arial" w:cs="Arial"/>
          <w:sz w:val="24"/>
          <w:szCs w:val="24"/>
        </w:rPr>
      </w:pPr>
      <w:r w:rsidRPr="00545877">
        <w:rPr>
          <w:rFonts w:ascii="Arial" w:hAnsi="Arial" w:cs="Arial"/>
          <w:sz w:val="24"/>
          <w:szCs w:val="24"/>
        </w:rPr>
        <w:t>Physicia</w:t>
      </w:r>
      <w:r w:rsidR="00545877" w:rsidRPr="00545877">
        <w:rPr>
          <w:rFonts w:ascii="Arial" w:hAnsi="Arial" w:cs="Arial"/>
          <w:sz w:val="24"/>
          <w:szCs w:val="24"/>
        </w:rPr>
        <w:t xml:space="preserve">n wants to use the device in a </w:t>
      </w:r>
      <w:r w:rsidRPr="00545877">
        <w:rPr>
          <w:rFonts w:ascii="Arial" w:hAnsi="Arial" w:cs="Arial"/>
          <w:sz w:val="24"/>
          <w:szCs w:val="24"/>
        </w:rPr>
        <w:t>way not approved under an exi</w:t>
      </w:r>
      <w:r w:rsidR="00545877" w:rsidRPr="00545877">
        <w:rPr>
          <w:rFonts w:ascii="Arial" w:hAnsi="Arial" w:cs="Arial"/>
          <w:sz w:val="24"/>
          <w:szCs w:val="24"/>
        </w:rPr>
        <w:t xml:space="preserve">sting IDE </w:t>
      </w:r>
    </w:p>
    <w:p w:rsidR="00AC309E" w:rsidRPr="00545877" w:rsidRDefault="00AC309E" w:rsidP="00545877">
      <w:pPr>
        <w:pStyle w:val="ListParagraph"/>
        <w:numPr>
          <w:ilvl w:val="0"/>
          <w:numId w:val="8"/>
        </w:numPr>
        <w:rPr>
          <w:rFonts w:ascii="Arial" w:hAnsi="Arial" w:cs="Arial"/>
          <w:sz w:val="24"/>
          <w:szCs w:val="24"/>
        </w:rPr>
      </w:pPr>
      <w:r w:rsidRPr="00545877">
        <w:rPr>
          <w:rFonts w:ascii="Arial" w:hAnsi="Arial" w:cs="Arial"/>
          <w:sz w:val="24"/>
          <w:szCs w:val="24"/>
        </w:rPr>
        <w:t>A physician is not part of the IDE study</w:t>
      </w:r>
    </w:p>
    <w:p w:rsidR="009F54FC" w:rsidRDefault="009F54FC" w:rsidP="009F54FC">
      <w:pPr>
        <w:pStyle w:val="ListParagraph"/>
        <w:ind w:hanging="810"/>
        <w:rPr>
          <w:rFonts w:ascii="Arial" w:hAnsi="Arial" w:cs="Arial"/>
          <w:sz w:val="24"/>
          <w:szCs w:val="24"/>
        </w:rPr>
      </w:pPr>
    </w:p>
    <w:p w:rsidR="009F54FC" w:rsidRPr="009F54FC" w:rsidRDefault="009F54FC" w:rsidP="009F54FC">
      <w:pPr>
        <w:pStyle w:val="ListParagraph"/>
        <w:ind w:hanging="810"/>
        <w:rPr>
          <w:rFonts w:ascii="Arial" w:hAnsi="Arial" w:cs="Arial"/>
          <w:b/>
          <w:sz w:val="24"/>
          <w:szCs w:val="24"/>
          <w:u w:val="single"/>
        </w:rPr>
      </w:pPr>
      <w:r w:rsidRPr="009F54FC">
        <w:rPr>
          <w:rFonts w:ascii="Arial" w:hAnsi="Arial" w:cs="Arial"/>
          <w:b/>
          <w:sz w:val="24"/>
          <w:szCs w:val="24"/>
          <w:u w:val="single"/>
        </w:rPr>
        <w:t xml:space="preserve">What is Compassionate Use (Single Patient) Access? </w:t>
      </w:r>
    </w:p>
    <w:p w:rsidR="009F54FC" w:rsidRPr="009F54FC" w:rsidRDefault="009F54FC" w:rsidP="00AC309E">
      <w:pPr>
        <w:pStyle w:val="ListParagraph"/>
        <w:ind w:left="0" w:hanging="90"/>
        <w:rPr>
          <w:rFonts w:ascii="Arial" w:hAnsi="Arial" w:cs="Arial"/>
          <w:sz w:val="24"/>
          <w:szCs w:val="24"/>
        </w:rPr>
      </w:pPr>
      <w:r w:rsidRPr="009F54FC">
        <w:rPr>
          <w:rFonts w:ascii="Arial" w:hAnsi="Arial" w:cs="Arial"/>
          <w:sz w:val="24"/>
          <w:szCs w:val="24"/>
        </w:rPr>
        <w:t>The compassionate use provision allows access f</w:t>
      </w:r>
      <w:r w:rsidR="00AC309E">
        <w:rPr>
          <w:rFonts w:ascii="Arial" w:hAnsi="Arial" w:cs="Arial"/>
          <w:sz w:val="24"/>
          <w:szCs w:val="24"/>
        </w:rPr>
        <w:t xml:space="preserve">or patients who do not </w:t>
      </w:r>
      <w:bookmarkStart w:id="0" w:name="_GoBack"/>
      <w:bookmarkEnd w:id="0"/>
      <w:r w:rsidR="00AC309E">
        <w:rPr>
          <w:rFonts w:ascii="Arial" w:hAnsi="Arial" w:cs="Arial"/>
          <w:sz w:val="24"/>
          <w:szCs w:val="24"/>
        </w:rPr>
        <w:t xml:space="preserve">meet the </w:t>
      </w:r>
      <w:r w:rsidRPr="009F54FC">
        <w:rPr>
          <w:rFonts w:ascii="Arial" w:hAnsi="Arial" w:cs="Arial"/>
          <w:sz w:val="24"/>
          <w:szCs w:val="24"/>
        </w:rPr>
        <w:t>requirements for inclusion in the clinical investigation but for whom the treating physician believes the device may provide a benefit in treating and/or diagnosing their disease or condition. This provision is typically approved for individual patients but may be approved to treat a small group.</w:t>
      </w:r>
    </w:p>
    <w:p w:rsidR="00584322" w:rsidRDefault="00584322" w:rsidP="009F54FC">
      <w:pPr>
        <w:pStyle w:val="ListParagraph"/>
        <w:ind w:hanging="810"/>
        <w:rPr>
          <w:rFonts w:ascii="Arial" w:hAnsi="Arial" w:cs="Arial"/>
          <w:sz w:val="24"/>
          <w:szCs w:val="24"/>
        </w:rPr>
      </w:pPr>
    </w:p>
    <w:p w:rsidR="009F54FC" w:rsidRPr="009F54FC" w:rsidRDefault="009F54FC" w:rsidP="009F54FC">
      <w:pPr>
        <w:pStyle w:val="ListParagraph"/>
        <w:ind w:hanging="810"/>
        <w:rPr>
          <w:rFonts w:ascii="Arial" w:hAnsi="Arial" w:cs="Arial"/>
          <w:sz w:val="24"/>
          <w:szCs w:val="24"/>
        </w:rPr>
      </w:pPr>
      <w:r w:rsidRPr="009F54FC">
        <w:rPr>
          <w:rFonts w:ascii="Arial" w:hAnsi="Arial" w:cs="Arial"/>
          <w:sz w:val="24"/>
          <w:szCs w:val="24"/>
        </w:rPr>
        <w:lastRenderedPageBreak/>
        <w:t>Criteria:</w:t>
      </w:r>
    </w:p>
    <w:p w:rsidR="009F54FC" w:rsidRPr="009F54FC" w:rsidRDefault="009F54FC" w:rsidP="00584322">
      <w:pPr>
        <w:pStyle w:val="ListParagraph"/>
        <w:numPr>
          <w:ilvl w:val="0"/>
          <w:numId w:val="1"/>
        </w:numPr>
        <w:rPr>
          <w:rFonts w:ascii="Arial" w:hAnsi="Arial" w:cs="Arial"/>
          <w:sz w:val="24"/>
          <w:szCs w:val="24"/>
        </w:rPr>
      </w:pPr>
      <w:r w:rsidRPr="009F54FC">
        <w:rPr>
          <w:rFonts w:ascii="Arial" w:hAnsi="Arial" w:cs="Arial"/>
          <w:sz w:val="24"/>
          <w:szCs w:val="24"/>
        </w:rPr>
        <w:t>Serious disease or condition</w:t>
      </w:r>
    </w:p>
    <w:p w:rsidR="009F54FC" w:rsidRPr="009F54FC" w:rsidRDefault="009F54FC" w:rsidP="00584322">
      <w:pPr>
        <w:pStyle w:val="ListParagraph"/>
        <w:numPr>
          <w:ilvl w:val="0"/>
          <w:numId w:val="1"/>
        </w:numPr>
        <w:rPr>
          <w:rFonts w:ascii="Arial" w:hAnsi="Arial" w:cs="Arial"/>
          <w:sz w:val="24"/>
          <w:szCs w:val="24"/>
        </w:rPr>
      </w:pPr>
      <w:r w:rsidRPr="009F54FC">
        <w:rPr>
          <w:rFonts w:ascii="Arial" w:hAnsi="Arial" w:cs="Arial"/>
          <w:sz w:val="24"/>
          <w:szCs w:val="24"/>
        </w:rPr>
        <w:t>No alternative</w:t>
      </w:r>
    </w:p>
    <w:p w:rsidR="00545877" w:rsidRDefault="00545877" w:rsidP="009F54FC">
      <w:pPr>
        <w:pStyle w:val="ListParagraph"/>
        <w:ind w:hanging="810"/>
        <w:rPr>
          <w:rFonts w:ascii="Arial" w:hAnsi="Arial" w:cs="Arial"/>
          <w:sz w:val="24"/>
          <w:szCs w:val="24"/>
        </w:rPr>
      </w:pPr>
    </w:p>
    <w:p w:rsidR="009F54FC" w:rsidRPr="009F54FC" w:rsidRDefault="009F54FC" w:rsidP="009F54FC">
      <w:pPr>
        <w:pStyle w:val="ListParagraph"/>
        <w:ind w:hanging="810"/>
        <w:rPr>
          <w:rFonts w:ascii="Arial" w:hAnsi="Arial" w:cs="Arial"/>
          <w:sz w:val="24"/>
          <w:szCs w:val="24"/>
        </w:rPr>
      </w:pPr>
      <w:r w:rsidRPr="009F54FC">
        <w:rPr>
          <w:rFonts w:ascii="Arial" w:hAnsi="Arial" w:cs="Arial"/>
          <w:sz w:val="24"/>
          <w:szCs w:val="24"/>
        </w:rPr>
        <w:t>T</w:t>
      </w:r>
      <w:r w:rsidR="00584322">
        <w:rPr>
          <w:rFonts w:ascii="Arial" w:hAnsi="Arial" w:cs="Arial"/>
          <w:sz w:val="24"/>
          <w:szCs w:val="24"/>
        </w:rPr>
        <w:t>ime-frame:</w:t>
      </w:r>
    </w:p>
    <w:p w:rsidR="009F54FC" w:rsidRPr="009F54FC" w:rsidRDefault="009F54FC" w:rsidP="00584322">
      <w:pPr>
        <w:pStyle w:val="ListParagraph"/>
        <w:numPr>
          <w:ilvl w:val="0"/>
          <w:numId w:val="1"/>
        </w:numPr>
        <w:rPr>
          <w:rFonts w:ascii="Arial" w:hAnsi="Arial" w:cs="Arial"/>
          <w:sz w:val="24"/>
          <w:szCs w:val="24"/>
        </w:rPr>
      </w:pPr>
      <w:r w:rsidRPr="009F54FC">
        <w:rPr>
          <w:rFonts w:ascii="Arial" w:hAnsi="Arial" w:cs="Arial"/>
          <w:sz w:val="24"/>
          <w:szCs w:val="24"/>
        </w:rPr>
        <w:t>FDA recognizes that there are circumstances in which an investigational device is the only option available for a patient faced with a serious, albeit not life-threatening, disease or condition. In these circumstances, FDA uses its regulatory discretion in determining whether such use of an investigational device should occur.</w:t>
      </w:r>
    </w:p>
    <w:p w:rsidR="009F54FC" w:rsidRDefault="009F54FC" w:rsidP="00584322">
      <w:pPr>
        <w:pStyle w:val="ListParagraph"/>
        <w:numPr>
          <w:ilvl w:val="0"/>
          <w:numId w:val="1"/>
        </w:numPr>
        <w:rPr>
          <w:rFonts w:ascii="Arial" w:hAnsi="Arial" w:cs="Arial"/>
          <w:sz w:val="24"/>
          <w:szCs w:val="24"/>
        </w:rPr>
      </w:pPr>
      <w:r w:rsidRPr="009F54FC">
        <w:rPr>
          <w:rFonts w:ascii="Arial" w:hAnsi="Arial" w:cs="Arial"/>
          <w:sz w:val="24"/>
          <w:szCs w:val="24"/>
        </w:rPr>
        <w:t xml:space="preserve">Prior FDA approval is needed before compassionate use occurs. In order to obtain Agency approval, the sponsor should submit an IDE supplement requesting approval for a compassionate use under section §812.35(a) in order to treat the patient. </w:t>
      </w:r>
    </w:p>
    <w:p w:rsidR="00584322" w:rsidRDefault="00584322" w:rsidP="00584322">
      <w:pPr>
        <w:pStyle w:val="ListParagraph"/>
        <w:numPr>
          <w:ilvl w:val="0"/>
          <w:numId w:val="1"/>
        </w:numPr>
        <w:rPr>
          <w:rFonts w:ascii="Arial" w:hAnsi="Arial" w:cs="Arial"/>
          <w:sz w:val="24"/>
          <w:szCs w:val="24"/>
        </w:rPr>
      </w:pPr>
      <w:r w:rsidRPr="00584322">
        <w:rPr>
          <w:rFonts w:ascii="Arial" w:hAnsi="Arial" w:cs="Arial"/>
          <w:sz w:val="24"/>
          <w:szCs w:val="24"/>
        </w:rPr>
        <w:t>The physician should not treat the patient identified in the supplement until FDA approves use of the device under the proposed circumstances. In reviewing this type of request, FDA will consider the above information as well as whether the preliminary evidence of safety and effectiveness justifies such use and whether such use would interfere with the conduct of a clinical trial to support marketing approval.</w:t>
      </w:r>
    </w:p>
    <w:p w:rsidR="00584322" w:rsidRPr="00584322" w:rsidRDefault="00584322" w:rsidP="00584322">
      <w:pPr>
        <w:pStyle w:val="ListParagraph"/>
        <w:rPr>
          <w:rFonts w:ascii="Arial" w:hAnsi="Arial" w:cs="Arial"/>
          <w:sz w:val="24"/>
          <w:szCs w:val="24"/>
        </w:rPr>
      </w:pPr>
    </w:p>
    <w:p w:rsidR="00584322" w:rsidRDefault="00584322" w:rsidP="00584322">
      <w:pPr>
        <w:ind w:left="360" w:hanging="360"/>
        <w:rPr>
          <w:rFonts w:ascii="Arial" w:hAnsi="Arial" w:cs="Arial"/>
          <w:b/>
          <w:sz w:val="24"/>
          <w:szCs w:val="24"/>
        </w:rPr>
      </w:pPr>
      <w:r w:rsidRPr="00584322">
        <w:rPr>
          <w:rFonts w:ascii="Arial" w:hAnsi="Arial" w:cs="Arial"/>
          <w:b/>
          <w:sz w:val="24"/>
          <w:szCs w:val="24"/>
        </w:rPr>
        <w:t xml:space="preserve">3). What is Required for Submission of Expanded Access Use of Medical </w:t>
      </w:r>
      <w:r w:rsidR="0083098C" w:rsidRPr="00584322">
        <w:rPr>
          <w:rFonts w:ascii="Arial" w:hAnsi="Arial" w:cs="Arial"/>
          <w:b/>
          <w:sz w:val="24"/>
          <w:szCs w:val="24"/>
        </w:rPr>
        <w:t>Device</w:t>
      </w:r>
      <w:r w:rsidR="0083098C">
        <w:rPr>
          <w:rFonts w:ascii="Arial" w:hAnsi="Arial" w:cs="Arial"/>
          <w:b/>
          <w:sz w:val="24"/>
          <w:szCs w:val="24"/>
        </w:rPr>
        <w:t>s</w:t>
      </w:r>
      <w:r w:rsidR="0083098C" w:rsidRPr="00584322">
        <w:rPr>
          <w:rFonts w:ascii="Arial" w:hAnsi="Arial" w:cs="Arial"/>
          <w:b/>
          <w:sz w:val="24"/>
          <w:szCs w:val="24"/>
        </w:rPr>
        <w:t xml:space="preserve"> (</w:t>
      </w:r>
      <w:r w:rsidRPr="00584322">
        <w:rPr>
          <w:rFonts w:ascii="Arial" w:hAnsi="Arial" w:cs="Arial"/>
          <w:b/>
          <w:sz w:val="24"/>
          <w:szCs w:val="24"/>
        </w:rPr>
        <w:t xml:space="preserve">UNC Investigator Request). </w:t>
      </w:r>
    </w:p>
    <w:p w:rsidR="00C66DBD" w:rsidRDefault="00C66DBD" w:rsidP="00512182">
      <w:pPr>
        <w:pStyle w:val="ListParagraph"/>
        <w:numPr>
          <w:ilvl w:val="0"/>
          <w:numId w:val="5"/>
        </w:numPr>
        <w:rPr>
          <w:rFonts w:ascii="Arial" w:hAnsi="Arial" w:cs="Arial"/>
          <w:sz w:val="24"/>
          <w:szCs w:val="24"/>
        </w:rPr>
      </w:pPr>
      <w:r w:rsidRPr="00512182">
        <w:rPr>
          <w:rFonts w:ascii="Arial" w:hAnsi="Arial" w:cs="Arial"/>
          <w:sz w:val="24"/>
          <w:szCs w:val="24"/>
        </w:rPr>
        <w:t>Physician must contact device manufacturer/distributor of the device for permission to access device on behalf of their patient. If the manufacturer/distributor has filing at the FDA, they will need to file UNC physician request as a supplement to their file at FDA.  Device manufacturer/distributor will need to give UNC physician a letter of authorization to access their</w:t>
      </w:r>
      <w:r w:rsidR="00AC309E">
        <w:rPr>
          <w:rFonts w:ascii="Arial" w:hAnsi="Arial" w:cs="Arial"/>
          <w:sz w:val="24"/>
          <w:szCs w:val="24"/>
        </w:rPr>
        <w:t xml:space="preserve"> FDA</w:t>
      </w:r>
      <w:r w:rsidR="008E75C8">
        <w:rPr>
          <w:rFonts w:ascii="Arial" w:hAnsi="Arial" w:cs="Arial"/>
          <w:sz w:val="24"/>
          <w:szCs w:val="24"/>
        </w:rPr>
        <w:t xml:space="preserve"> file</w:t>
      </w:r>
      <w:r w:rsidRPr="00512182">
        <w:rPr>
          <w:rFonts w:ascii="Arial" w:hAnsi="Arial" w:cs="Arial"/>
          <w:sz w:val="24"/>
          <w:szCs w:val="24"/>
        </w:rPr>
        <w:t xml:space="preserve"> on behalf of the UNC investigator. Unless otherwise specified by the device manufacturer/distributor the UNC will be the sponsor of the IDE request they submit to the FDA.  </w:t>
      </w:r>
    </w:p>
    <w:p w:rsidR="008E75C8" w:rsidRDefault="008E75C8" w:rsidP="008E75C8">
      <w:pPr>
        <w:pStyle w:val="ListParagraph"/>
        <w:rPr>
          <w:rFonts w:ascii="Arial" w:hAnsi="Arial" w:cs="Arial"/>
          <w:sz w:val="24"/>
          <w:szCs w:val="24"/>
        </w:rPr>
      </w:pPr>
    </w:p>
    <w:p w:rsidR="008E75C8" w:rsidRDefault="008E75C8" w:rsidP="008E75C8">
      <w:pPr>
        <w:pStyle w:val="ListParagraph"/>
        <w:rPr>
          <w:rFonts w:ascii="Arial" w:hAnsi="Arial" w:cs="Arial"/>
          <w:sz w:val="24"/>
          <w:szCs w:val="24"/>
        </w:rPr>
      </w:pPr>
      <w:r>
        <w:rPr>
          <w:rFonts w:ascii="Arial" w:hAnsi="Arial" w:cs="Arial"/>
          <w:sz w:val="24"/>
          <w:szCs w:val="24"/>
        </w:rPr>
        <w:t>Emergency Use: If an IDE exists, the sponsor (holder) of the IDE will report emergency use to the FDA. Investigator will need to check with sponsor as to what information will be required from them</w:t>
      </w:r>
    </w:p>
    <w:p w:rsidR="00E61A80" w:rsidRDefault="00E61A80" w:rsidP="00E61A80">
      <w:pPr>
        <w:pStyle w:val="ListParagraph"/>
        <w:rPr>
          <w:rFonts w:ascii="Arial" w:hAnsi="Arial" w:cs="Arial"/>
          <w:sz w:val="24"/>
          <w:szCs w:val="24"/>
        </w:rPr>
      </w:pPr>
    </w:p>
    <w:p w:rsidR="00584322" w:rsidRDefault="00584322" w:rsidP="00512182">
      <w:pPr>
        <w:pStyle w:val="ListParagraph"/>
        <w:numPr>
          <w:ilvl w:val="0"/>
          <w:numId w:val="5"/>
        </w:numPr>
        <w:rPr>
          <w:rFonts w:ascii="Arial" w:hAnsi="Arial" w:cs="Arial"/>
          <w:sz w:val="24"/>
          <w:szCs w:val="24"/>
        </w:rPr>
      </w:pPr>
      <w:r w:rsidRPr="00512182">
        <w:rPr>
          <w:rFonts w:ascii="Arial" w:hAnsi="Arial" w:cs="Arial"/>
          <w:sz w:val="24"/>
          <w:szCs w:val="24"/>
        </w:rPr>
        <w:t>Physician will need to check with UNC Office of Clinical Trials (OCT) to ensure there is a master agreement in place with the company providing the product.  If one does not exist, the investigator will need to request a Confidentiality Disclosure Agreemen</w:t>
      </w:r>
      <w:r w:rsidR="0083098C" w:rsidRPr="00512182">
        <w:rPr>
          <w:rFonts w:ascii="Arial" w:hAnsi="Arial" w:cs="Arial"/>
          <w:sz w:val="24"/>
          <w:szCs w:val="24"/>
        </w:rPr>
        <w:t xml:space="preserve">t (CDA) from the </w:t>
      </w:r>
      <w:r w:rsidRPr="00512182">
        <w:rPr>
          <w:rFonts w:ascii="Arial" w:hAnsi="Arial" w:cs="Arial"/>
          <w:sz w:val="24"/>
          <w:szCs w:val="24"/>
        </w:rPr>
        <w:t xml:space="preserve">company. OCT can assist with this. The CDA allows the physician to receive confidential information (Investigator </w:t>
      </w:r>
      <w:r w:rsidRPr="00512182">
        <w:rPr>
          <w:rFonts w:ascii="Arial" w:hAnsi="Arial" w:cs="Arial"/>
          <w:sz w:val="24"/>
          <w:szCs w:val="24"/>
        </w:rPr>
        <w:lastRenderedPageBreak/>
        <w:t>Brochure, safety language, etc.) from the compa</w:t>
      </w:r>
      <w:r w:rsidR="00AC309E">
        <w:rPr>
          <w:rFonts w:ascii="Arial" w:hAnsi="Arial" w:cs="Arial"/>
          <w:sz w:val="24"/>
          <w:szCs w:val="24"/>
        </w:rPr>
        <w:t>ny. Contact OCT at 919-843-2698</w:t>
      </w:r>
      <w:r w:rsidR="00E61A80">
        <w:rPr>
          <w:rFonts w:ascii="Arial" w:hAnsi="Arial" w:cs="Arial"/>
          <w:sz w:val="24"/>
          <w:szCs w:val="24"/>
        </w:rPr>
        <w:t xml:space="preserve"> </w:t>
      </w:r>
    </w:p>
    <w:p w:rsidR="00AC309E" w:rsidRPr="00AC309E" w:rsidRDefault="00AC309E" w:rsidP="00AC309E">
      <w:pPr>
        <w:pStyle w:val="ListParagraph"/>
        <w:rPr>
          <w:rFonts w:ascii="Arial" w:hAnsi="Arial" w:cs="Arial"/>
          <w:sz w:val="24"/>
          <w:szCs w:val="24"/>
        </w:rPr>
      </w:pPr>
    </w:p>
    <w:p w:rsidR="00584322" w:rsidRPr="00512182" w:rsidRDefault="00584322" w:rsidP="00512182">
      <w:pPr>
        <w:pStyle w:val="ListParagraph"/>
        <w:numPr>
          <w:ilvl w:val="0"/>
          <w:numId w:val="5"/>
        </w:numPr>
        <w:rPr>
          <w:rFonts w:ascii="Arial" w:hAnsi="Arial" w:cs="Arial"/>
          <w:sz w:val="24"/>
          <w:szCs w:val="24"/>
        </w:rPr>
      </w:pPr>
      <w:r w:rsidRPr="00512182">
        <w:rPr>
          <w:rFonts w:ascii="Arial" w:hAnsi="Arial" w:cs="Arial"/>
          <w:sz w:val="24"/>
          <w:szCs w:val="24"/>
        </w:rPr>
        <w:t xml:space="preserve">UNC IRB review is required for </w:t>
      </w:r>
      <w:r w:rsidRPr="00512182">
        <w:rPr>
          <w:rFonts w:ascii="Arial" w:hAnsi="Arial" w:cs="Arial"/>
          <w:b/>
          <w:sz w:val="24"/>
          <w:szCs w:val="24"/>
        </w:rPr>
        <w:t>all</w:t>
      </w:r>
      <w:r w:rsidRPr="00512182">
        <w:rPr>
          <w:rFonts w:ascii="Arial" w:hAnsi="Arial" w:cs="Arial"/>
          <w:sz w:val="24"/>
          <w:szCs w:val="24"/>
        </w:rPr>
        <w:t xml:space="preserve"> expanded use requests. If physician is submitting a non-emergency request, prospective IRB review is required before patient can be treated. Unless otherwise specified, patient or patient’s legal authorized representative will be required to sign informed consent for treatment. </w:t>
      </w:r>
    </w:p>
    <w:p w:rsidR="00F55771" w:rsidRDefault="00F55771" w:rsidP="00F55771">
      <w:pPr>
        <w:pStyle w:val="ListParagraph"/>
        <w:rPr>
          <w:rFonts w:ascii="Arial" w:hAnsi="Arial" w:cs="Arial"/>
          <w:sz w:val="24"/>
          <w:szCs w:val="24"/>
        </w:rPr>
      </w:pPr>
    </w:p>
    <w:p w:rsidR="00584322" w:rsidRDefault="00E61A80" w:rsidP="00512182">
      <w:pPr>
        <w:pStyle w:val="ListParagraph"/>
        <w:numPr>
          <w:ilvl w:val="0"/>
          <w:numId w:val="5"/>
        </w:numPr>
        <w:rPr>
          <w:rFonts w:ascii="Arial" w:hAnsi="Arial" w:cs="Arial"/>
          <w:sz w:val="24"/>
          <w:szCs w:val="24"/>
        </w:rPr>
      </w:pPr>
      <w:r>
        <w:rPr>
          <w:rFonts w:ascii="Arial" w:hAnsi="Arial" w:cs="Arial"/>
          <w:sz w:val="24"/>
          <w:szCs w:val="24"/>
        </w:rPr>
        <w:t>If not Emergency Use, t</w:t>
      </w:r>
      <w:r w:rsidR="0083098C" w:rsidRPr="00512182">
        <w:rPr>
          <w:rFonts w:ascii="Arial" w:hAnsi="Arial" w:cs="Arial"/>
          <w:sz w:val="24"/>
          <w:szCs w:val="24"/>
        </w:rPr>
        <w:t>he IRB and FDA IDE</w:t>
      </w:r>
      <w:r w:rsidR="00584322" w:rsidRPr="00512182">
        <w:rPr>
          <w:rFonts w:ascii="Arial" w:hAnsi="Arial" w:cs="Arial"/>
          <w:sz w:val="24"/>
          <w:szCs w:val="24"/>
        </w:rPr>
        <w:t xml:space="preserve"> application can be submitted in tandem. However, the UNC IRB will not give final appro</w:t>
      </w:r>
      <w:r w:rsidR="0083098C" w:rsidRPr="00512182">
        <w:rPr>
          <w:rFonts w:ascii="Arial" w:hAnsi="Arial" w:cs="Arial"/>
          <w:sz w:val="24"/>
          <w:szCs w:val="24"/>
        </w:rPr>
        <w:t>val until the FDA clears the</w:t>
      </w:r>
      <w:r w:rsidR="00584322" w:rsidRPr="00512182">
        <w:rPr>
          <w:rFonts w:ascii="Arial" w:hAnsi="Arial" w:cs="Arial"/>
          <w:sz w:val="24"/>
          <w:szCs w:val="24"/>
        </w:rPr>
        <w:t xml:space="preserve"> request.</w:t>
      </w:r>
      <w:r w:rsidR="0083098C" w:rsidRPr="00512182">
        <w:rPr>
          <w:rFonts w:ascii="Arial" w:hAnsi="Arial" w:cs="Arial"/>
          <w:sz w:val="24"/>
          <w:szCs w:val="24"/>
        </w:rPr>
        <w:t xml:space="preserve"> </w:t>
      </w:r>
    </w:p>
    <w:p w:rsidR="00AC309E" w:rsidRPr="00AC309E" w:rsidRDefault="00AC309E" w:rsidP="00AC309E">
      <w:pPr>
        <w:pStyle w:val="ListParagraph"/>
        <w:rPr>
          <w:rFonts w:ascii="Arial" w:hAnsi="Arial" w:cs="Arial"/>
          <w:sz w:val="24"/>
          <w:szCs w:val="24"/>
        </w:rPr>
      </w:pPr>
    </w:p>
    <w:p w:rsidR="0083098C" w:rsidRPr="00AC309E" w:rsidRDefault="0083098C" w:rsidP="00AC309E">
      <w:pPr>
        <w:pStyle w:val="ListParagraph"/>
        <w:numPr>
          <w:ilvl w:val="0"/>
          <w:numId w:val="5"/>
        </w:numPr>
        <w:rPr>
          <w:rFonts w:ascii="Arial" w:hAnsi="Arial" w:cs="Arial"/>
          <w:sz w:val="24"/>
          <w:szCs w:val="24"/>
        </w:rPr>
      </w:pPr>
      <w:r w:rsidRPr="00AC309E">
        <w:rPr>
          <w:rFonts w:ascii="Arial" w:hAnsi="Arial" w:cs="Arial"/>
          <w:sz w:val="24"/>
          <w:szCs w:val="24"/>
        </w:rPr>
        <w:t>Submission to the FDA should include the following (physician should contact the FDA before sending request to ensure they have provided all materials, as some divisions may require more information):</w:t>
      </w:r>
    </w:p>
    <w:p w:rsidR="0083098C" w:rsidRPr="0083098C" w:rsidRDefault="0083098C" w:rsidP="00512182">
      <w:pPr>
        <w:pStyle w:val="ListParagraph"/>
        <w:numPr>
          <w:ilvl w:val="1"/>
          <w:numId w:val="2"/>
        </w:numPr>
        <w:rPr>
          <w:rFonts w:ascii="Arial" w:hAnsi="Arial" w:cs="Arial"/>
          <w:sz w:val="24"/>
          <w:szCs w:val="24"/>
        </w:rPr>
      </w:pPr>
      <w:r w:rsidRPr="0083098C">
        <w:rPr>
          <w:rFonts w:ascii="Arial" w:hAnsi="Arial" w:cs="Arial"/>
          <w:sz w:val="24"/>
          <w:szCs w:val="24"/>
        </w:rPr>
        <w:t>A description of the patient's condition and the circumstances necessitating treatment</w:t>
      </w:r>
    </w:p>
    <w:p w:rsidR="0083098C" w:rsidRPr="00512182" w:rsidRDefault="0083098C" w:rsidP="00512182">
      <w:pPr>
        <w:pStyle w:val="ListParagraph"/>
        <w:numPr>
          <w:ilvl w:val="1"/>
          <w:numId w:val="2"/>
        </w:numPr>
        <w:rPr>
          <w:rFonts w:ascii="Arial" w:hAnsi="Arial" w:cs="Arial"/>
          <w:sz w:val="24"/>
          <w:szCs w:val="24"/>
        </w:rPr>
      </w:pPr>
      <w:r w:rsidRPr="00512182">
        <w:rPr>
          <w:rFonts w:ascii="Arial" w:hAnsi="Arial" w:cs="Arial"/>
          <w:sz w:val="24"/>
          <w:szCs w:val="24"/>
        </w:rPr>
        <w:t>A discussion of why alternatives therapies are unsatisfactory and why the probable risk of using the investigational device is no greater than the probable risk from the disease or condition</w:t>
      </w:r>
    </w:p>
    <w:p w:rsidR="0083098C" w:rsidRPr="00512182" w:rsidRDefault="0083098C" w:rsidP="00512182">
      <w:pPr>
        <w:pStyle w:val="ListParagraph"/>
        <w:numPr>
          <w:ilvl w:val="1"/>
          <w:numId w:val="2"/>
        </w:numPr>
        <w:rPr>
          <w:rFonts w:ascii="Arial" w:hAnsi="Arial" w:cs="Arial"/>
          <w:sz w:val="24"/>
          <w:szCs w:val="24"/>
        </w:rPr>
      </w:pPr>
      <w:r w:rsidRPr="00512182">
        <w:rPr>
          <w:rFonts w:ascii="Arial" w:hAnsi="Arial" w:cs="Arial"/>
          <w:sz w:val="24"/>
          <w:szCs w:val="24"/>
        </w:rPr>
        <w:t>An identification of any deviations in the approved clinical protocol that may be needed in order to treat the patient</w:t>
      </w:r>
    </w:p>
    <w:p w:rsidR="0083098C" w:rsidRDefault="0083098C" w:rsidP="00512182">
      <w:pPr>
        <w:pStyle w:val="ListParagraph"/>
        <w:numPr>
          <w:ilvl w:val="1"/>
          <w:numId w:val="2"/>
        </w:numPr>
        <w:rPr>
          <w:rFonts w:ascii="Arial" w:hAnsi="Arial" w:cs="Arial"/>
          <w:sz w:val="24"/>
          <w:szCs w:val="24"/>
        </w:rPr>
      </w:pPr>
      <w:r w:rsidRPr="00512182">
        <w:rPr>
          <w:rFonts w:ascii="Arial" w:hAnsi="Arial" w:cs="Arial"/>
          <w:sz w:val="24"/>
          <w:szCs w:val="24"/>
        </w:rPr>
        <w:t>The patient protection measures that will be followed. (Informed consent, concurrence of IRB chairperson, clearance from the institution, independent assessment from uninvolved physician, authorization from IDE sponsor)</w:t>
      </w:r>
    </w:p>
    <w:p w:rsidR="008E75C8" w:rsidRPr="008E75C8" w:rsidRDefault="008E75C8" w:rsidP="008E75C8">
      <w:pPr>
        <w:pStyle w:val="ListParagraph"/>
        <w:numPr>
          <w:ilvl w:val="1"/>
          <w:numId w:val="2"/>
        </w:numPr>
        <w:rPr>
          <w:rFonts w:ascii="Arial" w:hAnsi="Arial" w:cs="Arial"/>
          <w:sz w:val="24"/>
          <w:szCs w:val="24"/>
        </w:rPr>
      </w:pPr>
      <w:r w:rsidRPr="008E75C8">
        <w:rPr>
          <w:rFonts w:ascii="Arial" w:hAnsi="Arial" w:cs="Arial"/>
          <w:sz w:val="24"/>
          <w:szCs w:val="24"/>
        </w:rPr>
        <w:t>Independent assessment by a physician who is not participating in the investigation</w:t>
      </w:r>
      <w:r>
        <w:rPr>
          <w:rFonts w:ascii="Arial" w:hAnsi="Arial" w:cs="Arial"/>
          <w:sz w:val="24"/>
          <w:szCs w:val="24"/>
        </w:rPr>
        <w:t xml:space="preserve"> </w:t>
      </w:r>
    </w:p>
    <w:p w:rsidR="00512182" w:rsidRDefault="00584322" w:rsidP="00512182">
      <w:pPr>
        <w:pStyle w:val="ListParagraph"/>
        <w:ind w:left="1440"/>
        <w:rPr>
          <w:rFonts w:ascii="Arial" w:hAnsi="Arial" w:cs="Arial"/>
          <w:sz w:val="24"/>
          <w:szCs w:val="24"/>
        </w:rPr>
      </w:pPr>
      <w:r w:rsidRPr="00512182">
        <w:rPr>
          <w:rFonts w:ascii="Arial" w:hAnsi="Arial" w:cs="Arial"/>
          <w:b/>
          <w:sz w:val="24"/>
          <w:szCs w:val="24"/>
        </w:rPr>
        <w:t>Note</w:t>
      </w:r>
      <w:r w:rsidRPr="00512182">
        <w:rPr>
          <w:rFonts w:ascii="Arial" w:hAnsi="Arial" w:cs="Arial"/>
          <w:sz w:val="24"/>
          <w:szCs w:val="24"/>
        </w:rPr>
        <w:t>: Patient should not be c</w:t>
      </w:r>
      <w:r w:rsidR="0083098C" w:rsidRPr="00512182">
        <w:rPr>
          <w:rFonts w:ascii="Arial" w:hAnsi="Arial" w:cs="Arial"/>
          <w:sz w:val="24"/>
          <w:szCs w:val="24"/>
        </w:rPr>
        <w:t>harged for investigational device</w:t>
      </w:r>
      <w:r w:rsidRPr="00512182">
        <w:rPr>
          <w:rFonts w:ascii="Arial" w:hAnsi="Arial" w:cs="Arial"/>
          <w:sz w:val="24"/>
          <w:szCs w:val="24"/>
        </w:rPr>
        <w:t>.  If you are charging patient, you will need ask for permission from FDA and provide a rational</w:t>
      </w:r>
      <w:r w:rsidR="0083098C" w:rsidRPr="00512182">
        <w:rPr>
          <w:rFonts w:ascii="Arial" w:hAnsi="Arial" w:cs="Arial"/>
          <w:sz w:val="24"/>
          <w:szCs w:val="24"/>
        </w:rPr>
        <w:t>e in your IDE</w:t>
      </w:r>
      <w:r w:rsidRPr="00512182">
        <w:rPr>
          <w:rFonts w:ascii="Arial" w:hAnsi="Arial" w:cs="Arial"/>
          <w:sz w:val="24"/>
          <w:szCs w:val="24"/>
        </w:rPr>
        <w:t xml:space="preserve"> request. You will also need to document this in your IRB submission. </w:t>
      </w:r>
    </w:p>
    <w:p w:rsidR="008E75C8" w:rsidRDefault="008E75C8" w:rsidP="00512182">
      <w:pPr>
        <w:pStyle w:val="ListParagraph"/>
        <w:ind w:left="1440"/>
        <w:rPr>
          <w:rFonts w:ascii="Arial" w:hAnsi="Arial" w:cs="Arial"/>
          <w:sz w:val="24"/>
          <w:szCs w:val="24"/>
        </w:rPr>
      </w:pPr>
    </w:p>
    <w:p w:rsidR="00584322" w:rsidRDefault="00584322" w:rsidP="00AC309E">
      <w:pPr>
        <w:pStyle w:val="ListParagraph"/>
        <w:numPr>
          <w:ilvl w:val="0"/>
          <w:numId w:val="6"/>
        </w:numPr>
        <w:rPr>
          <w:rFonts w:ascii="Arial" w:hAnsi="Arial" w:cs="Arial"/>
          <w:sz w:val="24"/>
          <w:szCs w:val="24"/>
        </w:rPr>
      </w:pPr>
      <w:r w:rsidRPr="00AC309E">
        <w:rPr>
          <w:rFonts w:ascii="Arial" w:hAnsi="Arial" w:cs="Arial"/>
          <w:sz w:val="24"/>
          <w:szCs w:val="24"/>
        </w:rPr>
        <w:t>Physician should inquire within specified FDA division as</w:t>
      </w:r>
      <w:r w:rsidR="00512182" w:rsidRPr="00AC309E">
        <w:rPr>
          <w:rFonts w:ascii="Arial" w:hAnsi="Arial" w:cs="Arial"/>
          <w:sz w:val="24"/>
          <w:szCs w:val="24"/>
        </w:rPr>
        <w:t xml:space="preserve"> to how they wish to receive IDE</w:t>
      </w:r>
      <w:r w:rsidRPr="00AC309E">
        <w:rPr>
          <w:rFonts w:ascii="Arial" w:hAnsi="Arial" w:cs="Arial"/>
          <w:sz w:val="24"/>
          <w:szCs w:val="24"/>
        </w:rPr>
        <w:t xml:space="preserve"> request. Some will let you fax</w:t>
      </w:r>
      <w:r w:rsidR="00512182" w:rsidRPr="00AC309E">
        <w:rPr>
          <w:rFonts w:ascii="Arial" w:hAnsi="Arial" w:cs="Arial"/>
          <w:sz w:val="24"/>
          <w:szCs w:val="24"/>
        </w:rPr>
        <w:t xml:space="preserve"> or e-mail</w:t>
      </w:r>
      <w:r w:rsidRPr="00AC309E">
        <w:rPr>
          <w:rFonts w:ascii="Arial" w:hAnsi="Arial" w:cs="Arial"/>
          <w:sz w:val="24"/>
          <w:szCs w:val="24"/>
        </w:rPr>
        <w:t xml:space="preserve"> the request, while others require the standard hard copy submission in triplicate.  If you faxed</w:t>
      </w:r>
      <w:r w:rsidR="00512182" w:rsidRPr="00AC309E">
        <w:rPr>
          <w:rFonts w:ascii="Arial" w:hAnsi="Arial" w:cs="Arial"/>
          <w:sz w:val="24"/>
          <w:szCs w:val="24"/>
        </w:rPr>
        <w:t xml:space="preserve"> or e-mailed</w:t>
      </w:r>
      <w:r w:rsidRPr="00AC309E">
        <w:rPr>
          <w:rFonts w:ascii="Arial" w:hAnsi="Arial" w:cs="Arial"/>
          <w:sz w:val="24"/>
          <w:szCs w:val="24"/>
        </w:rPr>
        <w:t xml:space="preserve"> the request you must follow up with the FDA to ensure it was received.  Once submission is received by FDA, the agency has 30 days to respond, if not sooner. </w:t>
      </w:r>
      <w:r w:rsidR="00512182" w:rsidRPr="00AC309E">
        <w:rPr>
          <w:rFonts w:ascii="Arial" w:hAnsi="Arial" w:cs="Arial"/>
          <w:sz w:val="24"/>
          <w:szCs w:val="24"/>
        </w:rPr>
        <w:t>The request will be assigned its own IDE</w:t>
      </w:r>
      <w:r w:rsidRPr="00AC309E">
        <w:rPr>
          <w:rFonts w:ascii="Arial" w:hAnsi="Arial" w:cs="Arial"/>
          <w:sz w:val="24"/>
          <w:szCs w:val="24"/>
        </w:rPr>
        <w:t xml:space="preserve"> number. All subs</w:t>
      </w:r>
      <w:r w:rsidR="00512182" w:rsidRPr="00AC309E">
        <w:rPr>
          <w:rFonts w:ascii="Arial" w:hAnsi="Arial" w:cs="Arial"/>
          <w:sz w:val="24"/>
          <w:szCs w:val="24"/>
        </w:rPr>
        <w:t>equent submissions to the IDE</w:t>
      </w:r>
      <w:r w:rsidRPr="00AC309E">
        <w:rPr>
          <w:rFonts w:ascii="Arial" w:hAnsi="Arial" w:cs="Arial"/>
          <w:sz w:val="24"/>
          <w:szCs w:val="24"/>
        </w:rPr>
        <w:t xml:space="preserve"> must include this number. Unless otherwise specified, the UNC physician will be considered</w:t>
      </w:r>
      <w:r w:rsidR="00512182" w:rsidRPr="00AC309E">
        <w:rPr>
          <w:rFonts w:ascii="Arial" w:hAnsi="Arial" w:cs="Arial"/>
          <w:sz w:val="24"/>
          <w:szCs w:val="24"/>
        </w:rPr>
        <w:t xml:space="preserve"> the sponsor (holder) of the IDE</w:t>
      </w:r>
      <w:r w:rsidRPr="00AC309E">
        <w:rPr>
          <w:rFonts w:ascii="Arial" w:hAnsi="Arial" w:cs="Arial"/>
          <w:sz w:val="24"/>
          <w:szCs w:val="24"/>
        </w:rPr>
        <w:t xml:space="preserve">.  All communications will go to the physician, so it is best practice to provide an </w:t>
      </w:r>
      <w:r w:rsidRPr="00AC309E">
        <w:rPr>
          <w:rFonts w:ascii="Arial" w:hAnsi="Arial" w:cs="Arial"/>
          <w:sz w:val="24"/>
          <w:szCs w:val="24"/>
        </w:rPr>
        <w:lastRenderedPageBreak/>
        <w:t>additional contact person in the body of the cover letter. This person m</w:t>
      </w:r>
      <w:r w:rsidR="00512182" w:rsidRPr="00AC309E">
        <w:rPr>
          <w:rFonts w:ascii="Arial" w:hAnsi="Arial" w:cs="Arial"/>
          <w:sz w:val="24"/>
          <w:szCs w:val="24"/>
        </w:rPr>
        <w:t>ay also act on behalf of the IDE</w:t>
      </w:r>
      <w:r w:rsidRPr="00AC309E">
        <w:rPr>
          <w:rFonts w:ascii="Arial" w:hAnsi="Arial" w:cs="Arial"/>
          <w:sz w:val="24"/>
          <w:szCs w:val="24"/>
        </w:rPr>
        <w:t>.</w:t>
      </w:r>
    </w:p>
    <w:p w:rsidR="00AC309E" w:rsidRPr="00AC309E" w:rsidRDefault="00AC309E" w:rsidP="00AC309E">
      <w:pPr>
        <w:pStyle w:val="NormalWeb"/>
        <w:ind w:left="720"/>
        <w:rPr>
          <w:rFonts w:ascii="Arial" w:hAnsi="Arial" w:cs="Arial"/>
        </w:rPr>
      </w:pPr>
      <w:r w:rsidRPr="00AC309E">
        <w:rPr>
          <w:rFonts w:ascii="Arial" w:hAnsi="Arial" w:cs="Arial"/>
        </w:rPr>
        <w:t>For questions about expanded access for emergency use for medical devices, contact CDRH at phone: 301-796-5640; or fax 301-847-8120.</w:t>
      </w:r>
    </w:p>
    <w:p w:rsidR="00AC309E" w:rsidRDefault="00AC309E" w:rsidP="00AC309E">
      <w:pPr>
        <w:pStyle w:val="NormalWeb"/>
        <w:spacing w:before="0" w:beforeAutospacing="0" w:after="0" w:afterAutospacing="0"/>
        <w:ind w:left="720"/>
        <w:rPr>
          <w:rStyle w:val="Strong"/>
          <w:rFonts w:ascii="Arial" w:hAnsi="Arial" w:cs="Arial"/>
        </w:rPr>
      </w:pPr>
      <w:r w:rsidRPr="00AC309E">
        <w:rPr>
          <w:rStyle w:val="Strong"/>
          <w:rFonts w:ascii="Arial" w:hAnsi="Arial" w:cs="Arial"/>
        </w:rPr>
        <w:t xml:space="preserve">After hours (after 4:30 pm EST weekdays and all day on weekends) </w:t>
      </w:r>
    </w:p>
    <w:p w:rsidR="00AC309E" w:rsidRPr="00AC309E" w:rsidRDefault="00AC309E" w:rsidP="00AC309E">
      <w:pPr>
        <w:pStyle w:val="NormalWeb"/>
        <w:spacing w:before="0" w:beforeAutospacing="0" w:after="0" w:afterAutospacing="0"/>
        <w:ind w:left="720"/>
        <w:rPr>
          <w:rFonts w:ascii="Arial" w:hAnsi="Arial" w:cs="Arial"/>
        </w:rPr>
      </w:pPr>
      <w:r w:rsidRPr="00AC309E">
        <w:rPr>
          <w:rFonts w:ascii="Arial" w:hAnsi="Arial" w:cs="Arial"/>
        </w:rPr>
        <w:t>All questions about and requests for expanded access for emergency use for drugs, biologics and medical devices should be directed to the FDA Emergency Call Center, telephone: 866-300-4374.</w:t>
      </w:r>
    </w:p>
    <w:p w:rsidR="00AC309E" w:rsidRDefault="00AC309E" w:rsidP="00AC309E">
      <w:pPr>
        <w:pStyle w:val="ListParagraph"/>
        <w:rPr>
          <w:rFonts w:ascii="Arial" w:hAnsi="Arial" w:cs="Arial"/>
          <w:sz w:val="24"/>
          <w:szCs w:val="24"/>
        </w:rPr>
      </w:pPr>
    </w:p>
    <w:p w:rsidR="00545877" w:rsidRDefault="00545877" w:rsidP="00545877">
      <w:pPr>
        <w:pStyle w:val="ListParagraph"/>
        <w:rPr>
          <w:rFonts w:ascii="Arial" w:hAnsi="Arial" w:cs="Arial"/>
          <w:sz w:val="24"/>
          <w:szCs w:val="24"/>
        </w:rPr>
      </w:pPr>
      <w:r>
        <w:rPr>
          <w:rFonts w:ascii="Arial" w:hAnsi="Arial" w:cs="Arial"/>
          <w:sz w:val="24"/>
          <w:szCs w:val="24"/>
        </w:rPr>
        <w:t>Summary:</w:t>
      </w:r>
    </w:p>
    <w:p w:rsidR="00545877" w:rsidRPr="00545877" w:rsidRDefault="00545877" w:rsidP="00545877">
      <w:pPr>
        <w:pStyle w:val="ListParagraph"/>
        <w:numPr>
          <w:ilvl w:val="0"/>
          <w:numId w:val="9"/>
        </w:numPr>
        <w:rPr>
          <w:rFonts w:ascii="Arial" w:hAnsi="Arial" w:cs="Arial"/>
          <w:sz w:val="24"/>
          <w:szCs w:val="24"/>
        </w:rPr>
      </w:pPr>
      <w:r w:rsidRPr="00545877">
        <w:rPr>
          <w:rFonts w:ascii="Arial" w:hAnsi="Arial" w:cs="Arial"/>
          <w:sz w:val="24"/>
          <w:szCs w:val="24"/>
        </w:rPr>
        <w:t>Physicians can use unapproved devices in emergency situations</w:t>
      </w:r>
    </w:p>
    <w:p w:rsidR="00545877" w:rsidRPr="00545877" w:rsidRDefault="00545877" w:rsidP="00545877">
      <w:pPr>
        <w:pStyle w:val="ListParagraph"/>
        <w:numPr>
          <w:ilvl w:val="0"/>
          <w:numId w:val="9"/>
        </w:numPr>
        <w:rPr>
          <w:rFonts w:ascii="Arial" w:hAnsi="Arial" w:cs="Arial"/>
          <w:sz w:val="24"/>
          <w:szCs w:val="24"/>
        </w:rPr>
      </w:pPr>
      <w:r w:rsidRPr="00545877">
        <w:rPr>
          <w:rFonts w:ascii="Arial" w:hAnsi="Arial" w:cs="Arial"/>
          <w:sz w:val="24"/>
          <w:szCs w:val="24"/>
        </w:rPr>
        <w:t xml:space="preserve">IRBs must receive reports within five working </w:t>
      </w:r>
      <w:r>
        <w:rPr>
          <w:rFonts w:ascii="Arial" w:hAnsi="Arial" w:cs="Arial"/>
          <w:sz w:val="24"/>
          <w:szCs w:val="24"/>
        </w:rPr>
        <w:t>days</w:t>
      </w:r>
    </w:p>
    <w:p w:rsidR="00545877" w:rsidRPr="00545877" w:rsidRDefault="00545877" w:rsidP="00545877">
      <w:pPr>
        <w:pStyle w:val="ListParagraph"/>
        <w:numPr>
          <w:ilvl w:val="0"/>
          <w:numId w:val="9"/>
        </w:numPr>
        <w:rPr>
          <w:rFonts w:ascii="Arial" w:hAnsi="Arial" w:cs="Arial"/>
          <w:sz w:val="24"/>
          <w:szCs w:val="24"/>
        </w:rPr>
      </w:pPr>
      <w:r w:rsidRPr="00545877">
        <w:rPr>
          <w:rFonts w:ascii="Arial" w:hAnsi="Arial" w:cs="Arial"/>
          <w:sz w:val="24"/>
          <w:szCs w:val="24"/>
        </w:rPr>
        <w:t xml:space="preserve">Subsequent emergency use-needs IDE </w:t>
      </w:r>
    </w:p>
    <w:p w:rsidR="00545877" w:rsidRDefault="00545877" w:rsidP="00545877">
      <w:pPr>
        <w:pStyle w:val="ListParagraph"/>
        <w:numPr>
          <w:ilvl w:val="0"/>
          <w:numId w:val="9"/>
        </w:numPr>
        <w:rPr>
          <w:rFonts w:ascii="Arial" w:hAnsi="Arial" w:cs="Arial"/>
          <w:sz w:val="24"/>
          <w:szCs w:val="24"/>
        </w:rPr>
      </w:pPr>
      <w:r w:rsidRPr="00545877">
        <w:rPr>
          <w:rFonts w:ascii="Arial" w:hAnsi="Arial" w:cs="Arial"/>
          <w:sz w:val="24"/>
          <w:szCs w:val="24"/>
        </w:rPr>
        <w:t>Compassionate use requires prior FDA and IRB concurrence</w:t>
      </w:r>
      <w:r>
        <w:rPr>
          <w:rFonts w:ascii="Arial" w:hAnsi="Arial" w:cs="Arial"/>
          <w:sz w:val="24"/>
          <w:szCs w:val="24"/>
        </w:rPr>
        <w:t xml:space="preserve"> before use</w:t>
      </w:r>
    </w:p>
    <w:p w:rsidR="00F55771" w:rsidRDefault="00F55771" w:rsidP="00F55771">
      <w:pPr>
        <w:rPr>
          <w:rFonts w:ascii="Arial" w:hAnsi="Arial" w:cs="Arial"/>
          <w:sz w:val="24"/>
          <w:szCs w:val="24"/>
        </w:rPr>
      </w:pPr>
    </w:p>
    <w:p w:rsidR="00F55771" w:rsidRDefault="00F55771" w:rsidP="00F55771">
      <w:pPr>
        <w:rPr>
          <w:rFonts w:ascii="Arial" w:hAnsi="Arial" w:cs="Arial"/>
          <w:b/>
          <w:sz w:val="24"/>
          <w:szCs w:val="24"/>
          <w:u w:val="single"/>
        </w:rPr>
      </w:pPr>
      <w:r w:rsidRPr="00F55771">
        <w:rPr>
          <w:rFonts w:ascii="Arial" w:hAnsi="Arial" w:cs="Arial"/>
          <w:b/>
          <w:sz w:val="24"/>
          <w:szCs w:val="24"/>
          <w:u w:val="single"/>
        </w:rPr>
        <w:t xml:space="preserve">Additional </w:t>
      </w:r>
      <w:r>
        <w:rPr>
          <w:rFonts w:ascii="Arial" w:hAnsi="Arial" w:cs="Arial"/>
          <w:b/>
          <w:sz w:val="24"/>
          <w:szCs w:val="24"/>
          <w:u w:val="single"/>
        </w:rPr>
        <w:t>Resources</w:t>
      </w:r>
    </w:p>
    <w:p w:rsidR="00F55771" w:rsidRPr="00F55771" w:rsidRDefault="00F55771" w:rsidP="00F55771">
      <w:pPr>
        <w:spacing w:after="0" w:line="240" w:lineRule="auto"/>
        <w:rPr>
          <w:rFonts w:ascii="Arial" w:hAnsi="Arial" w:cs="Arial"/>
          <w:b/>
          <w:sz w:val="24"/>
          <w:szCs w:val="24"/>
          <w:u w:val="single"/>
        </w:rPr>
      </w:pPr>
      <w:r w:rsidRPr="00F55771">
        <w:rPr>
          <w:rFonts w:ascii="Arial" w:hAnsi="Arial" w:cs="Arial"/>
          <w:sz w:val="24"/>
          <w:szCs w:val="24"/>
        </w:rPr>
        <w:t>1).</w:t>
      </w:r>
      <w:r w:rsidR="00366A57">
        <w:rPr>
          <w:rFonts w:ascii="Arial" w:hAnsi="Arial" w:cs="Arial"/>
          <w:sz w:val="24"/>
          <w:szCs w:val="24"/>
        </w:rPr>
        <w:t xml:space="preserve"> </w:t>
      </w:r>
      <w:r w:rsidRPr="00F55771">
        <w:rPr>
          <w:rFonts w:ascii="Arial" w:hAnsi="Arial" w:cs="Arial"/>
          <w:sz w:val="24"/>
          <w:szCs w:val="24"/>
        </w:rPr>
        <w:t>IDE Early/Expanded Access</w:t>
      </w:r>
    </w:p>
    <w:p w:rsidR="00F55771" w:rsidRDefault="002379A2" w:rsidP="00F55771">
      <w:pPr>
        <w:spacing w:after="0" w:line="240" w:lineRule="auto"/>
        <w:ind w:left="360"/>
        <w:rPr>
          <w:rFonts w:ascii="Arial" w:hAnsi="Arial" w:cs="Arial"/>
          <w:sz w:val="24"/>
          <w:szCs w:val="24"/>
        </w:rPr>
      </w:pPr>
      <w:hyperlink r:id="rId8" w:history="1">
        <w:r w:rsidR="00F55771" w:rsidRPr="009C3964">
          <w:rPr>
            <w:rStyle w:val="Hyperlink"/>
            <w:rFonts w:ascii="Arial" w:hAnsi="Arial" w:cs="Arial"/>
            <w:sz w:val="24"/>
            <w:szCs w:val="24"/>
          </w:rPr>
          <w:t>http://www.fda.gov/MedicalDevices/DeviceRegulationandGuidance/HowtoMarketYourDevice/InvestigationalDeviceExemptionIDE/ucm051345.htm</w:t>
        </w:r>
      </w:hyperlink>
    </w:p>
    <w:p w:rsidR="00F55771" w:rsidRDefault="00F55771" w:rsidP="00F55771">
      <w:pPr>
        <w:spacing w:after="0" w:line="240" w:lineRule="auto"/>
        <w:rPr>
          <w:rFonts w:ascii="Arial" w:hAnsi="Arial" w:cs="Arial"/>
          <w:sz w:val="24"/>
          <w:szCs w:val="24"/>
        </w:rPr>
      </w:pPr>
    </w:p>
    <w:p w:rsidR="00F55771" w:rsidRDefault="00F55771" w:rsidP="00F55771">
      <w:pPr>
        <w:spacing w:after="0" w:line="240" w:lineRule="auto"/>
        <w:rPr>
          <w:rFonts w:ascii="Arial" w:hAnsi="Arial" w:cs="Arial"/>
          <w:sz w:val="24"/>
          <w:szCs w:val="24"/>
        </w:rPr>
      </w:pPr>
      <w:r>
        <w:rPr>
          <w:rFonts w:ascii="Arial" w:hAnsi="Arial" w:cs="Arial"/>
          <w:sz w:val="24"/>
          <w:szCs w:val="24"/>
        </w:rPr>
        <w:t>2). Expanded Access (Compassionate Use)</w:t>
      </w:r>
    </w:p>
    <w:p w:rsidR="00F55771" w:rsidRDefault="002379A2" w:rsidP="00366A57">
      <w:pPr>
        <w:spacing w:after="0" w:line="240" w:lineRule="auto"/>
        <w:ind w:left="360"/>
        <w:rPr>
          <w:rFonts w:ascii="Arial" w:hAnsi="Arial" w:cs="Arial"/>
          <w:sz w:val="24"/>
          <w:szCs w:val="24"/>
        </w:rPr>
      </w:pPr>
      <w:hyperlink r:id="rId9" w:history="1">
        <w:r w:rsidR="00F55771" w:rsidRPr="009C3964">
          <w:rPr>
            <w:rStyle w:val="Hyperlink"/>
            <w:rFonts w:ascii="Arial" w:hAnsi="Arial" w:cs="Arial"/>
            <w:sz w:val="24"/>
            <w:szCs w:val="24"/>
          </w:rPr>
          <w:t>http://www.fda.gov/NewsEvents/PublicHealthFocus/ExpandedAccessCompassionateUse/default.htm</w:t>
        </w:r>
      </w:hyperlink>
    </w:p>
    <w:p w:rsidR="00F55771" w:rsidRDefault="00F55771" w:rsidP="00F55771">
      <w:pPr>
        <w:spacing w:after="0" w:line="240" w:lineRule="auto"/>
        <w:ind w:left="270"/>
        <w:rPr>
          <w:rFonts w:ascii="Arial" w:hAnsi="Arial" w:cs="Arial"/>
          <w:sz w:val="24"/>
          <w:szCs w:val="24"/>
        </w:rPr>
      </w:pPr>
    </w:p>
    <w:p w:rsidR="00366A57" w:rsidRPr="00366A57" w:rsidRDefault="00F55771" w:rsidP="00366A57">
      <w:pPr>
        <w:spacing w:after="0" w:line="240" w:lineRule="auto"/>
        <w:rPr>
          <w:rFonts w:ascii="Arial" w:hAnsi="Arial" w:cs="Arial"/>
          <w:sz w:val="24"/>
          <w:szCs w:val="24"/>
        </w:rPr>
      </w:pPr>
      <w:r>
        <w:rPr>
          <w:rFonts w:ascii="Arial" w:hAnsi="Arial" w:cs="Arial"/>
          <w:sz w:val="24"/>
          <w:szCs w:val="24"/>
        </w:rPr>
        <w:t xml:space="preserve">3). </w:t>
      </w:r>
      <w:r w:rsidR="00366A57" w:rsidRPr="00366A57">
        <w:rPr>
          <w:rFonts w:ascii="Arial" w:hAnsi="Arial" w:cs="Arial"/>
          <w:sz w:val="24"/>
          <w:szCs w:val="24"/>
        </w:rPr>
        <w:t xml:space="preserve">UNC IRB Contact </w:t>
      </w:r>
    </w:p>
    <w:p w:rsidR="00366A57" w:rsidRPr="00366A57" w:rsidRDefault="00366A57" w:rsidP="00366A57">
      <w:pPr>
        <w:spacing w:after="0" w:line="240" w:lineRule="auto"/>
        <w:ind w:firstLine="360"/>
        <w:rPr>
          <w:rFonts w:ascii="Arial" w:hAnsi="Arial" w:cs="Arial"/>
          <w:sz w:val="24"/>
          <w:szCs w:val="24"/>
        </w:rPr>
      </w:pPr>
      <w:r w:rsidRPr="00366A57">
        <w:rPr>
          <w:rFonts w:ascii="Arial" w:hAnsi="Arial" w:cs="Arial"/>
          <w:sz w:val="24"/>
          <w:szCs w:val="24"/>
        </w:rPr>
        <w:t>Mike Matamoros, (919) 966-3113</w:t>
      </w:r>
    </w:p>
    <w:p w:rsidR="00F55771" w:rsidRDefault="002379A2" w:rsidP="00366A57">
      <w:pPr>
        <w:spacing w:after="0" w:line="240" w:lineRule="auto"/>
        <w:ind w:firstLine="360"/>
        <w:rPr>
          <w:rFonts w:ascii="Arial" w:hAnsi="Arial" w:cs="Arial"/>
          <w:sz w:val="24"/>
          <w:szCs w:val="24"/>
        </w:rPr>
      </w:pPr>
      <w:hyperlink r:id="rId10" w:history="1">
        <w:r w:rsidR="00366A57" w:rsidRPr="005C6F5C">
          <w:rPr>
            <w:rStyle w:val="Hyperlink"/>
            <w:rFonts w:ascii="Arial" w:hAnsi="Arial" w:cs="Arial"/>
            <w:sz w:val="24"/>
            <w:szCs w:val="24"/>
          </w:rPr>
          <w:t>matamoro@email.unc.edu</w:t>
        </w:r>
      </w:hyperlink>
    </w:p>
    <w:p w:rsidR="00366A57" w:rsidRPr="00F55771" w:rsidRDefault="00366A57" w:rsidP="00366A57">
      <w:pPr>
        <w:spacing w:after="0" w:line="240" w:lineRule="auto"/>
        <w:ind w:firstLine="720"/>
        <w:rPr>
          <w:rFonts w:ascii="Arial" w:hAnsi="Arial" w:cs="Arial"/>
          <w:sz w:val="24"/>
          <w:szCs w:val="24"/>
        </w:rPr>
      </w:pPr>
    </w:p>
    <w:sectPr w:rsidR="00366A57" w:rsidRPr="00F55771">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83C" w:rsidRDefault="00E1583C" w:rsidP="00F55771">
      <w:pPr>
        <w:spacing w:after="0" w:line="240" w:lineRule="auto"/>
      </w:pPr>
      <w:r>
        <w:separator/>
      </w:r>
    </w:p>
  </w:endnote>
  <w:endnote w:type="continuationSeparator" w:id="0">
    <w:p w:rsidR="00E1583C" w:rsidRDefault="00E1583C" w:rsidP="00F55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2348789"/>
      <w:docPartObj>
        <w:docPartGallery w:val="Page Numbers (Bottom of Page)"/>
        <w:docPartUnique/>
      </w:docPartObj>
    </w:sdtPr>
    <w:sdtEndPr/>
    <w:sdtContent>
      <w:sdt>
        <w:sdtPr>
          <w:id w:val="1728636285"/>
          <w:docPartObj>
            <w:docPartGallery w:val="Page Numbers (Top of Page)"/>
            <w:docPartUnique/>
          </w:docPartObj>
        </w:sdtPr>
        <w:sdtEndPr/>
        <w:sdtContent>
          <w:p w:rsidR="00F55771" w:rsidRDefault="00F5577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79A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79A2">
              <w:rPr>
                <w:b/>
                <w:bCs/>
                <w:noProof/>
              </w:rPr>
              <w:t>4</w:t>
            </w:r>
            <w:r>
              <w:rPr>
                <w:b/>
                <w:bCs/>
                <w:sz w:val="24"/>
                <w:szCs w:val="24"/>
              </w:rPr>
              <w:fldChar w:fldCharType="end"/>
            </w:r>
          </w:p>
        </w:sdtContent>
      </w:sdt>
    </w:sdtContent>
  </w:sdt>
  <w:p w:rsidR="00F55771" w:rsidRDefault="00F55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83C" w:rsidRDefault="00E1583C" w:rsidP="00F55771">
      <w:pPr>
        <w:spacing w:after="0" w:line="240" w:lineRule="auto"/>
      </w:pPr>
      <w:r>
        <w:separator/>
      </w:r>
    </w:p>
  </w:footnote>
  <w:footnote w:type="continuationSeparator" w:id="0">
    <w:p w:rsidR="00E1583C" w:rsidRDefault="00E1583C" w:rsidP="00F55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C55"/>
    <w:multiLevelType w:val="hybridMultilevel"/>
    <w:tmpl w:val="066A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CC2F74"/>
    <w:multiLevelType w:val="hybridMultilevel"/>
    <w:tmpl w:val="5ADC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10F74"/>
    <w:multiLevelType w:val="hybridMultilevel"/>
    <w:tmpl w:val="EEFCF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7D00BA"/>
    <w:multiLevelType w:val="hybridMultilevel"/>
    <w:tmpl w:val="2C9605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1B42162"/>
    <w:multiLevelType w:val="hybridMultilevel"/>
    <w:tmpl w:val="EC6A4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7B7498"/>
    <w:multiLevelType w:val="hybridMultilevel"/>
    <w:tmpl w:val="9EFA7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0D5529"/>
    <w:multiLevelType w:val="hybridMultilevel"/>
    <w:tmpl w:val="2EB2BD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120896"/>
    <w:multiLevelType w:val="hybridMultilevel"/>
    <w:tmpl w:val="3628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58D7DD2"/>
    <w:multiLevelType w:val="hybridMultilevel"/>
    <w:tmpl w:val="448C0C9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B75320"/>
    <w:multiLevelType w:val="hybridMultilevel"/>
    <w:tmpl w:val="52DE6E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9DF2C70"/>
    <w:multiLevelType w:val="hybridMultilevel"/>
    <w:tmpl w:val="0352C7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9"/>
  </w:num>
  <w:num w:numId="5">
    <w:abstractNumId w:val="6"/>
  </w:num>
  <w:num w:numId="6">
    <w:abstractNumId w:val="10"/>
  </w:num>
  <w:num w:numId="7">
    <w:abstractNumId w:val="2"/>
  </w:num>
  <w:num w:numId="8">
    <w:abstractNumId w:val="4"/>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00F"/>
    <w:rsid w:val="000A5082"/>
    <w:rsid w:val="00111413"/>
    <w:rsid w:val="002379A2"/>
    <w:rsid w:val="00324AA4"/>
    <w:rsid w:val="00366A57"/>
    <w:rsid w:val="00512182"/>
    <w:rsid w:val="00545877"/>
    <w:rsid w:val="00584322"/>
    <w:rsid w:val="0063500F"/>
    <w:rsid w:val="0083098C"/>
    <w:rsid w:val="008E75C8"/>
    <w:rsid w:val="009F54FC"/>
    <w:rsid w:val="00AC309E"/>
    <w:rsid w:val="00C66DBD"/>
    <w:rsid w:val="00E1583C"/>
    <w:rsid w:val="00E61A80"/>
    <w:rsid w:val="00F55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FC"/>
    <w:pPr>
      <w:ind w:left="720"/>
      <w:contextualSpacing/>
    </w:pPr>
  </w:style>
  <w:style w:type="paragraph" w:styleId="NormalWeb">
    <w:name w:val="Normal (Web)"/>
    <w:basedOn w:val="Normal"/>
    <w:uiPriority w:val="99"/>
    <w:semiHidden/>
    <w:unhideWhenUsed/>
    <w:rsid w:val="00AC3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09E"/>
    <w:rPr>
      <w:b/>
      <w:bCs/>
    </w:rPr>
  </w:style>
  <w:style w:type="character" w:styleId="Hyperlink">
    <w:name w:val="Hyperlink"/>
    <w:basedOn w:val="DefaultParagraphFont"/>
    <w:uiPriority w:val="99"/>
    <w:unhideWhenUsed/>
    <w:rsid w:val="00F55771"/>
    <w:rPr>
      <w:color w:val="0563C1" w:themeColor="hyperlink"/>
      <w:u w:val="single"/>
    </w:rPr>
  </w:style>
  <w:style w:type="paragraph" w:styleId="Header">
    <w:name w:val="header"/>
    <w:basedOn w:val="Normal"/>
    <w:link w:val="HeaderChar"/>
    <w:uiPriority w:val="99"/>
    <w:unhideWhenUsed/>
    <w:rsid w:val="00F5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71"/>
  </w:style>
  <w:style w:type="paragraph" w:styleId="Footer">
    <w:name w:val="footer"/>
    <w:basedOn w:val="Normal"/>
    <w:link w:val="FooterChar"/>
    <w:uiPriority w:val="99"/>
    <w:unhideWhenUsed/>
    <w:rsid w:val="00F5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4FC"/>
    <w:pPr>
      <w:ind w:left="720"/>
      <w:contextualSpacing/>
    </w:pPr>
  </w:style>
  <w:style w:type="paragraph" w:styleId="NormalWeb">
    <w:name w:val="Normal (Web)"/>
    <w:basedOn w:val="Normal"/>
    <w:uiPriority w:val="99"/>
    <w:semiHidden/>
    <w:unhideWhenUsed/>
    <w:rsid w:val="00AC30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C309E"/>
    <w:rPr>
      <w:b/>
      <w:bCs/>
    </w:rPr>
  </w:style>
  <w:style w:type="character" w:styleId="Hyperlink">
    <w:name w:val="Hyperlink"/>
    <w:basedOn w:val="DefaultParagraphFont"/>
    <w:uiPriority w:val="99"/>
    <w:unhideWhenUsed/>
    <w:rsid w:val="00F55771"/>
    <w:rPr>
      <w:color w:val="0563C1" w:themeColor="hyperlink"/>
      <w:u w:val="single"/>
    </w:rPr>
  </w:style>
  <w:style w:type="paragraph" w:styleId="Header">
    <w:name w:val="header"/>
    <w:basedOn w:val="Normal"/>
    <w:link w:val="HeaderChar"/>
    <w:uiPriority w:val="99"/>
    <w:unhideWhenUsed/>
    <w:rsid w:val="00F557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771"/>
  </w:style>
  <w:style w:type="paragraph" w:styleId="Footer">
    <w:name w:val="footer"/>
    <w:basedOn w:val="Normal"/>
    <w:link w:val="FooterChar"/>
    <w:uiPriority w:val="99"/>
    <w:unhideWhenUsed/>
    <w:rsid w:val="00F557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359245">
      <w:bodyDiv w:val="1"/>
      <w:marLeft w:val="0"/>
      <w:marRight w:val="0"/>
      <w:marTop w:val="0"/>
      <w:marBottom w:val="0"/>
      <w:divBdr>
        <w:top w:val="none" w:sz="0" w:space="0" w:color="auto"/>
        <w:left w:val="none" w:sz="0" w:space="0" w:color="auto"/>
        <w:bottom w:val="none" w:sz="0" w:space="0" w:color="auto"/>
        <w:right w:val="none" w:sz="0" w:space="0" w:color="auto"/>
      </w:divBdr>
      <w:divsChild>
        <w:div w:id="994647077">
          <w:marLeft w:val="0"/>
          <w:marRight w:val="0"/>
          <w:marTop w:val="0"/>
          <w:marBottom w:val="0"/>
          <w:divBdr>
            <w:top w:val="none" w:sz="0" w:space="0" w:color="auto"/>
            <w:left w:val="none" w:sz="0" w:space="0" w:color="auto"/>
            <w:bottom w:val="none" w:sz="0" w:space="0" w:color="auto"/>
            <w:right w:val="none" w:sz="0" w:space="0" w:color="auto"/>
          </w:divBdr>
        </w:div>
        <w:div w:id="1369915992">
          <w:marLeft w:val="0"/>
          <w:marRight w:val="0"/>
          <w:marTop w:val="0"/>
          <w:marBottom w:val="0"/>
          <w:divBdr>
            <w:top w:val="none" w:sz="0" w:space="0" w:color="auto"/>
            <w:left w:val="none" w:sz="0" w:space="0" w:color="auto"/>
            <w:bottom w:val="none" w:sz="0" w:space="0" w:color="auto"/>
            <w:right w:val="none" w:sz="0" w:space="0" w:color="auto"/>
          </w:divBdr>
        </w:div>
        <w:div w:id="1241061193">
          <w:marLeft w:val="0"/>
          <w:marRight w:val="0"/>
          <w:marTop w:val="0"/>
          <w:marBottom w:val="0"/>
          <w:divBdr>
            <w:top w:val="none" w:sz="0" w:space="0" w:color="auto"/>
            <w:left w:val="none" w:sz="0" w:space="0" w:color="auto"/>
            <w:bottom w:val="none" w:sz="0" w:space="0" w:color="auto"/>
            <w:right w:val="none" w:sz="0" w:space="0" w:color="auto"/>
          </w:divBdr>
        </w:div>
        <w:div w:id="1596088639">
          <w:marLeft w:val="0"/>
          <w:marRight w:val="0"/>
          <w:marTop w:val="0"/>
          <w:marBottom w:val="0"/>
          <w:divBdr>
            <w:top w:val="none" w:sz="0" w:space="0" w:color="auto"/>
            <w:left w:val="none" w:sz="0" w:space="0" w:color="auto"/>
            <w:bottom w:val="none" w:sz="0" w:space="0" w:color="auto"/>
            <w:right w:val="none" w:sz="0" w:space="0" w:color="auto"/>
          </w:divBdr>
        </w:div>
        <w:div w:id="1371882065">
          <w:marLeft w:val="0"/>
          <w:marRight w:val="0"/>
          <w:marTop w:val="0"/>
          <w:marBottom w:val="0"/>
          <w:divBdr>
            <w:top w:val="none" w:sz="0" w:space="0" w:color="auto"/>
            <w:left w:val="none" w:sz="0" w:space="0" w:color="auto"/>
            <w:bottom w:val="none" w:sz="0" w:space="0" w:color="auto"/>
            <w:right w:val="none" w:sz="0" w:space="0" w:color="auto"/>
          </w:divBdr>
        </w:div>
        <w:div w:id="797189504">
          <w:marLeft w:val="0"/>
          <w:marRight w:val="0"/>
          <w:marTop w:val="0"/>
          <w:marBottom w:val="0"/>
          <w:divBdr>
            <w:top w:val="none" w:sz="0" w:space="0" w:color="auto"/>
            <w:left w:val="none" w:sz="0" w:space="0" w:color="auto"/>
            <w:bottom w:val="none" w:sz="0" w:space="0" w:color="auto"/>
            <w:right w:val="none" w:sz="0" w:space="0" w:color="auto"/>
          </w:divBdr>
        </w:div>
        <w:div w:id="762997341">
          <w:marLeft w:val="0"/>
          <w:marRight w:val="0"/>
          <w:marTop w:val="0"/>
          <w:marBottom w:val="0"/>
          <w:divBdr>
            <w:top w:val="none" w:sz="0" w:space="0" w:color="auto"/>
            <w:left w:val="none" w:sz="0" w:space="0" w:color="auto"/>
            <w:bottom w:val="none" w:sz="0" w:space="0" w:color="auto"/>
            <w:right w:val="none" w:sz="0" w:space="0" w:color="auto"/>
          </w:divBdr>
        </w:div>
        <w:div w:id="183136949">
          <w:marLeft w:val="0"/>
          <w:marRight w:val="0"/>
          <w:marTop w:val="0"/>
          <w:marBottom w:val="0"/>
          <w:divBdr>
            <w:top w:val="none" w:sz="0" w:space="0" w:color="auto"/>
            <w:left w:val="none" w:sz="0" w:space="0" w:color="auto"/>
            <w:bottom w:val="none" w:sz="0" w:space="0" w:color="auto"/>
            <w:right w:val="none" w:sz="0" w:space="0" w:color="auto"/>
          </w:divBdr>
        </w:div>
        <w:div w:id="877275452">
          <w:marLeft w:val="0"/>
          <w:marRight w:val="0"/>
          <w:marTop w:val="0"/>
          <w:marBottom w:val="0"/>
          <w:divBdr>
            <w:top w:val="none" w:sz="0" w:space="0" w:color="auto"/>
            <w:left w:val="none" w:sz="0" w:space="0" w:color="auto"/>
            <w:bottom w:val="none" w:sz="0" w:space="0" w:color="auto"/>
            <w:right w:val="none" w:sz="0" w:space="0" w:color="auto"/>
          </w:divBdr>
        </w:div>
        <w:div w:id="2046590840">
          <w:marLeft w:val="0"/>
          <w:marRight w:val="0"/>
          <w:marTop w:val="0"/>
          <w:marBottom w:val="0"/>
          <w:divBdr>
            <w:top w:val="none" w:sz="0" w:space="0" w:color="auto"/>
            <w:left w:val="none" w:sz="0" w:space="0" w:color="auto"/>
            <w:bottom w:val="none" w:sz="0" w:space="0" w:color="auto"/>
            <w:right w:val="none" w:sz="0" w:space="0" w:color="auto"/>
          </w:divBdr>
        </w:div>
        <w:div w:id="1464806994">
          <w:marLeft w:val="0"/>
          <w:marRight w:val="0"/>
          <w:marTop w:val="0"/>
          <w:marBottom w:val="0"/>
          <w:divBdr>
            <w:top w:val="none" w:sz="0" w:space="0" w:color="auto"/>
            <w:left w:val="none" w:sz="0" w:space="0" w:color="auto"/>
            <w:bottom w:val="none" w:sz="0" w:space="0" w:color="auto"/>
            <w:right w:val="none" w:sz="0" w:space="0" w:color="auto"/>
          </w:divBdr>
        </w:div>
        <w:div w:id="221446924">
          <w:marLeft w:val="0"/>
          <w:marRight w:val="0"/>
          <w:marTop w:val="0"/>
          <w:marBottom w:val="0"/>
          <w:divBdr>
            <w:top w:val="none" w:sz="0" w:space="0" w:color="auto"/>
            <w:left w:val="none" w:sz="0" w:space="0" w:color="auto"/>
            <w:bottom w:val="none" w:sz="0" w:space="0" w:color="auto"/>
            <w:right w:val="none" w:sz="0" w:space="0" w:color="auto"/>
          </w:divBdr>
        </w:div>
        <w:div w:id="1601139645">
          <w:marLeft w:val="0"/>
          <w:marRight w:val="0"/>
          <w:marTop w:val="0"/>
          <w:marBottom w:val="0"/>
          <w:divBdr>
            <w:top w:val="none" w:sz="0" w:space="0" w:color="auto"/>
            <w:left w:val="none" w:sz="0" w:space="0" w:color="auto"/>
            <w:bottom w:val="none" w:sz="0" w:space="0" w:color="auto"/>
            <w:right w:val="none" w:sz="0" w:space="0" w:color="auto"/>
          </w:divBdr>
        </w:div>
        <w:div w:id="929241807">
          <w:marLeft w:val="0"/>
          <w:marRight w:val="0"/>
          <w:marTop w:val="0"/>
          <w:marBottom w:val="0"/>
          <w:divBdr>
            <w:top w:val="none" w:sz="0" w:space="0" w:color="auto"/>
            <w:left w:val="none" w:sz="0" w:space="0" w:color="auto"/>
            <w:bottom w:val="none" w:sz="0" w:space="0" w:color="auto"/>
            <w:right w:val="none" w:sz="0" w:space="0" w:color="auto"/>
          </w:divBdr>
        </w:div>
        <w:div w:id="435566179">
          <w:marLeft w:val="0"/>
          <w:marRight w:val="0"/>
          <w:marTop w:val="0"/>
          <w:marBottom w:val="0"/>
          <w:divBdr>
            <w:top w:val="none" w:sz="0" w:space="0" w:color="auto"/>
            <w:left w:val="none" w:sz="0" w:space="0" w:color="auto"/>
            <w:bottom w:val="none" w:sz="0" w:space="0" w:color="auto"/>
            <w:right w:val="none" w:sz="0" w:space="0" w:color="auto"/>
          </w:divBdr>
        </w:div>
        <w:div w:id="110252185">
          <w:marLeft w:val="0"/>
          <w:marRight w:val="0"/>
          <w:marTop w:val="0"/>
          <w:marBottom w:val="0"/>
          <w:divBdr>
            <w:top w:val="none" w:sz="0" w:space="0" w:color="auto"/>
            <w:left w:val="none" w:sz="0" w:space="0" w:color="auto"/>
            <w:bottom w:val="none" w:sz="0" w:space="0" w:color="auto"/>
            <w:right w:val="none" w:sz="0" w:space="0" w:color="auto"/>
          </w:divBdr>
        </w:div>
        <w:div w:id="643125620">
          <w:marLeft w:val="0"/>
          <w:marRight w:val="0"/>
          <w:marTop w:val="0"/>
          <w:marBottom w:val="0"/>
          <w:divBdr>
            <w:top w:val="none" w:sz="0" w:space="0" w:color="auto"/>
            <w:left w:val="none" w:sz="0" w:space="0" w:color="auto"/>
            <w:bottom w:val="none" w:sz="0" w:space="0" w:color="auto"/>
            <w:right w:val="none" w:sz="0" w:space="0" w:color="auto"/>
          </w:divBdr>
        </w:div>
      </w:divsChild>
    </w:div>
    <w:div w:id="213667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da.gov/MedicalDevices/DeviceRegulationandGuidance/HowtoMarketYourDevice/InvestigationalDeviceExemptionIDE/ucm051345.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tamoro@email.unc.edu" TargetMode="External"/><Relationship Id="rId4" Type="http://schemas.openxmlformats.org/officeDocument/2006/relationships/settings" Target="settings.xml"/><Relationship Id="rId9" Type="http://schemas.openxmlformats.org/officeDocument/2006/relationships/hyperlink" Target="http://www.fda.gov/NewsEvents/PublicHealthFocus/ExpandedAccessCompassionateUse/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1235</Words>
  <Characters>7044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Amy Daniel</dc:creator>
  <cp:lastModifiedBy>Rape, Marie T</cp:lastModifiedBy>
  <cp:revision>2</cp:revision>
  <dcterms:created xsi:type="dcterms:W3CDTF">2016-04-14T15:50:00Z</dcterms:created>
  <dcterms:modified xsi:type="dcterms:W3CDTF">2016-04-14T15:50:00Z</dcterms:modified>
</cp:coreProperties>
</file>